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PP110002 vom 18. August 2011</w:t>
      </w:r>
    </w:p>
    <w:p>
      <w:r>
        <w:t>ZH Obergericht, 2011-08-18, DE</w:t>
      </w:r>
    </w:p>
    <w:p>
      <w:r>
        <w:rPr>
          <w:b/>
        </w:rPr>
        <w:t xml:space="preserve">Quelle: </w:t>
      </w:r>
      <w:r>
        <w:t>https://mcp.opencaselaw.ch/entscheid/zh_obergericht_PP110002</w:t>
      </w:r>
    </w:p>
    <w:p>
      <w:r>
        <w:t>FR: ZH_OBERGERICHT PP110002 du 18 août 2011</w:t>
      </w:r>
    </w:p>
    <w:p>
      <w:r>
        <w:t>IT: ZH_OBERGERICHT PP110002 del 18 agosto 2011</w:t>
      </w:r>
    </w:p>
    <w:p>
      <w:pPr>
        <w:pStyle w:val="Heading2"/>
      </w:pPr>
      <w:r>
        <w:t>Erwägungen</w:t>
      </w:r>
    </w:p>
    <w:p>
      <w:r>
        <w:rPr>
          <w:b/>
        </w:rPr>
        <w:t>E. 1</w:t>
      </w:r>
    </w:p>
    <w:p>
      <w:r>
        <w:t>Mit Verfügung vom 16. März 2011 schrieb die Vorinstanz die vom Kläger und Beschwerdeführer (fortan: Kläger) mit Schreiben vom 9. Februar 2011 ange- hobene Klage infolge Rückzugs ab. Sie auferlegte dabei die Gerichtskosten von Fr. 200.– dem Kläger und sprach der Beklagten und Beschwerdegegnerin (fortan: Beklagte) keine Prozessentschädigung zu (Urk. 2 S. 3). Mit Eingabe vom 16. April 2011 (Poststempel 16. April 2011, eingegangen am 19. April 2011) erhob der Kläger rechtzeitig Beschwerde gegen die Verfügung der Vorinstanz vom 16. März 2011 (Urk. 2).</w:t>
      </w:r>
    </w:p>
    <w:p>
      <w:r>
        <w:rPr>
          <w:b/>
        </w:rPr>
        <w:t>E. 2</w:t>
      </w:r>
    </w:p>
    <w:p>
      <w:r>
        <w:t>Für das vorliegende Verfahren kommt die am 1. Januar 2011 in Kraft getre- tene eidgenössische Zivilprozessordnung zur Anwendung (Art. 404 f. ZPO). Die Beschwerde stellt das zulässige Rechtsmittel dar (Art. 319 lit. a ZPO i.V.m. Art. 308 Abs. 2 ZPO). Mit der Beschwerde können unrichtige Rechtsanwendung und offensichtlich unrichtige Feststellung des Sachverhalts geltend gemacht werden (Art. 320 ZPO).</w:t>
      </w:r>
    </w:p>
    <w:p>
      <w:r>
        <w:rPr>
          <w:b/>
        </w:rPr>
        <w:t>E. 3</w:t>
      </w:r>
    </w:p>
    <w:p>
      <w:r>
        <w:t>Der Kläger moniert nicht, dass das vorinstanzliche Verfahren durch Rückzug erledigt abgeschrieben wurde. Er beanstandet lediglich, dass ihm die Gerichts- kosten auferlegt wurden. Er bringt an, dass er aufgrund eines Missverständnisses und der ausgebliebenen Auskunft der Friedensrichterin gedacht habe, dass er zur Einhaltung der Frist die Forderung beim Gericht direkt einklagen müsse (ohne vorgängiges Sühnverfahren). Erst nach dem Gespräch mit der Friedensrichterin und entsprechender Erörterung der Rechtslage habe er die Klage wieder zurück- gezogen (Urk. 1).</w:t>
      </w:r>
    </w:p>
    <w:p>
      <w:r>
        <w:rPr>
          <w:b/>
        </w:rPr>
        <w:t>E. 4</w:t>
      </w:r>
    </w:p>
    <w:p>
      <w:r>
        <w:t>Gemäss Art. 106 ZPO werden die Prozesskosten der unterliegenden Partei auferlegt. Bei Klagerückzug gilt die klagende Partei als unterliegend. Mit der Kos- tenauflage hat die Vorinstanz das Recht richtig angewendet. Die Höhe der aufer- legten Gerichtskosten beanstandet der Kläger nicht.</w:t>
      </w:r>
    </w:p>
    <w:p>
      <w:r>
        <w:t>- 3 - Damit erweist sich die Beschwerde des Klägers als offensichtlich unbegrün- det, weshalb sie abzuweisen ist. Unter diesen Umständen kann davon abgesehen werden, eine Beschwerdeantwort der Beklagten einzuholen (Art. 322 ZPO, Art. 324 ZPO).</w:t>
      </w:r>
    </w:p>
    <w:p>
      <w:r>
        <w:rPr>
          <w:b/>
        </w:rPr>
        <w:t>E. 5</w:t>
      </w:r>
    </w:p>
    <w:p>
      <w:r>
        <w:t>Die Spruchgebühr ist ausgangsgemäss dem Kläger aufzuerlegen (Art. 106 Abs. 1 ZPO) und in Anwendung von §§ 4 Abs. 1 und 2 sowie 12 Abs. 1 und 2 GerGebV auf Fr. 100.– festzusetzen.</w:t>
      </w:r>
    </w:p>
    <w:p>
      <w:r>
        <w:rPr>
          <w:b/>
        </w:rPr>
        <w:t>E. 6</w:t>
      </w:r>
    </w:p>
    <w:p>
      <w:r>
        <w:t>Mangels Umtrieben ist der Beklagten für das Beschwerdeverfahren keine Parteientschädigung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