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PN050291 vom 28. Februar 2006</w:t>
      </w:r>
    </w:p>
    <w:p>
      <w:r>
        <w:t>ZH Obergericht, 2006-02-28, DE</w:t>
      </w:r>
    </w:p>
    <w:p>
      <w:r>
        <w:rPr>
          <w:b/>
        </w:rPr>
        <w:t xml:space="preserve">Quelle: </w:t>
      </w:r>
      <w:r>
        <w:t>https://mcp.opencaselaw.ch/entscheid/zh_obergericht_PN050291</w:t>
      </w:r>
    </w:p>
    <w:p>
      <w:r>
        <w:t>FR: ZH_OBERGERICHT PN050291 du 28 février 2006</w:t>
      </w:r>
    </w:p>
    <w:p>
      <w:r>
        <w:t>IT: ZH_OBERGERICHT PN050291 del 28 febbraio 2006</w:t>
      </w:r>
    </w:p>
    <w:p>
      <w:pPr>
        <w:pStyle w:val="Heading2"/>
      </w:pPr>
      <w:r>
        <w:t>Erwägungen</w:t>
      </w:r>
    </w:p>
    <w:p>
      <w:r>
        <w:rPr>
          <w:b/>
        </w:rPr>
        <w:t>E. 19</w:t>
      </w:r>
    </w:p>
    <w:p>
      <w:r>
        <w:t>Oktober 2005</w:t>
      </w:r>
    </w:p>
    <w:p>
      <w:r>
        <w:t>- 2 - Das Gericht zieht in Erwägung: 1. Der Beschwerdegegner stellte am 22. August 2005 beim Einzelrichter im summarischen Verfahren des Bezirks Hinwil ein Rechtsöffnungsbegehren i.S. von Art. 80 und 82 SchKG im Forderungsbetrage von Fr. 75'000.-- nebst Zins zu 5% seit dem 25. Dezember 2004 und Betreibungskosten. (...) wurde (ihm) (...) provisorische Rechtsöffnung erteilt. 2. (...) 3. Die Nichtigkeitsbeschwerde ist ein ausserordentliches Rechtsmittel, das nicht der Fortsetzung des vor erster Instanz abgeschlossenen Verfahrens dient. Im Gegensatz zur Berufung zielt sie daher auch nicht auf eine freie Nachprüfung des angefochtenen Entscheids in tatsächlicher und rechtlicher Hinsicht, sondern gestattet nur eine Überprüfung daraufhin, ob der ange- fochtene Entscheid zum Nachteil der beschwerdeführenden Partei an einem Nichtigkeitsgrund leide. Nichtigkeitsgründe sind gemäss § 281 Ziff. 1 bis 3 ZPO die Verletzung eines wesentlichen Verfahrensgrundsatzes (Ziff. 1), aktenwidrige oder willkürliche tatsächliche Annahmen (Ziff. 2) und die Ver- letzung klaren materiellen Rechts (Ziff. 3). In der Beschwerdeschrift ist dar- zulegen, inwiefern der angefochtene Entscheid mit einem der erwähnten Mängel behaftet sei, damit die Kassationsinstanz den Entscheid des Sach- richters auf den geltend gemachten Nichtigkeitsgrund hin überprüfen kann (§ 290 ZPO). (...) Die Nichtigkeitsbeschwerde nach § 281 Ziff. 3 ZPO dient nicht der Durchsetzung der materiellen Rechtseinheit, sondern lediglich der Korrektur offenbarer schwerer Irrtümer bei Anwendung des Gesetzes. Über die Auslegung einer Rechtsnorm darf kein begründeter Zweifel bestehen (FRANK/STRÄULI/MESSMER, a.a.O., N 51 zu § 281 Ziff. 3 ZPO). 4. (...) 5. Sodann wird gerügt, der angefochtene Rechtsöffnungsentscheid verstosse gegen klares materielles Recht, da die in Art. 82 SchKG enthaltenen Vor-</w:t>
      </w:r>
    </w:p>
    <w:p>
      <w:r>
        <w:t>- 3 - aussetzungen der Rechtsöffnung nicht erfüllt gewesen seien, welche nach Lehre und Rechtsprechung ausdrücklich als klares materielles Recht aner- kannt seien (Hinw. auf FRANK/STRÄULI/MESSMER, a.a.O., N 47 zu § 281 Ziff. 3 ZPO). Dazu ergibt sich Folgendes: a) Die Beschwerdeführerin trägt vor, der Kläger habe sich einen Teil der in Betreibung gesetzten Forderung erst am 17. bzw. 18. Oktober 2005 von seinen vier früheren Geschäftspartnern abtreten lassen. Der Schluss des Einzelrichters, es sei ausreichend, wenn der Gläubiger im Zeitpunkt der Urteilsfällung für die gesamte in Betreibung gesetzte For- derung verfahrenslegitimiert sei, sei so nicht haltbar. Die Verweisung auf STÜCHELI sei unbehelflich, da es sich dort um Gläubigerwechsel im Verlauf des Verfahrens gehandelt habe, bei denen derjenige, der die Betreibung eingeleitet habe, auch tatsächlich Gläubiger der Forde- rung gewesen sei (Die Rechtsöffnung, Diss. Zürich 2000, S. 69 f.; act. 1, S. 13 ff., Ziff. 48 ff.). Nach dieser Lehrmeinung, die von der Rechtsprechung in jüngerer Zeit geteilt werde (AGVE 1989, S. 45 f.), dürfe Rechtsöffnung nur erteilt werden, wenn der betriebene Anspruch im Zeitpunkt der Anhebung der Betreibung durch den Betreibenden einforderbar sei (m. Hinw. auf STÜCHELI, a.a.O., S. 69 f., S. 172). Die bei PANCHAUD/CAPREZ angeführten Entscheide bezögen sich auf "altes Recht" und überdies auf die Aberkennungsklage, nicht auf die Rechtsöffnung. Die Beklagte habe daher zu Recht Rechtsvorschlag er- hoben. b) Die Vorinstanz hat erwogen, der Kläger sei im Zahlungsbefehl vom</w:t>
      </w:r>
    </w:p>
    <w:p>
      <w:r>
        <w:rPr>
          <w:b/>
        </w:rPr>
        <w:t>E. 24</w:t>
      </w:r>
    </w:p>
    <w:p>
      <w:r>
        <w:t>März 1970 mit der Begründung vertreten, die Betreibung dürfe nicht gestützt auf die Abweisung der Aberkennungsklage fortgesetzt werden, wenn der Schuldner gegen den Zahlungsbefehl zu Recht Rechtsvor- schlag erhoben habe, weil die Forderung nicht bestand bzw. dem Be- treibenden (noch) nicht zustand, würde er dabei doch der zwanzigtäti- gen Zahlungsfrist nach Art. 69 Ziff. 2 SchKG verlustig gehen. Zudem könnte der Betreibende im Falle einer Gruppenpfändung einen Rang erlangen, der ihm nicht zustünde (ZR 69 Nr. 21). Der Kommentar FRANK/STRÄULI/MESSMER beschränkt sich darauf, die bundesge-</w:t>
      </w:r>
    </w:p>
    <w:p>
      <w:r>
        <w:t>- 6 - richtliche Rechtsprechung zu zitieren, ohne sie zu kommentieren oder an ihr Kritik zu üben (N 3 zu § 213 Ziff. 2 ZPO). e) In Lehre und Rechtsprechung finden sich keine begründeten Zweifel an der herrschenden Rechtsauffassung, dass der Zessionar im Betrei- bungsverfahren nur dann in die Rechte des Zedenten eintritt, wenn Letzterer die Betreibung selbst eingeleitet hat, und nicht der (zukünfti- ge) Zessionar. Da einzig der Kläger und Beschwerdegegner im Zah- lungsbefehl des Betreibungsamtes Wetzikon vom 24. Mai 2005 als Be- treibender aufgeführt ist, ist er im Umfange der nach Einleitung des Betreibungsverfahrens, insbesondere nach Zustellung des Zahlungs- befehls, an ihn zedierten Forderungsbeträge nicht verfahrenslegitimiert, so dass ihm in der vorliegenden Betreibung höchstens im Umfang sei- ner eigenen Teilforderung Rechtsöffnung erteilt werden kann. 6. Die Nichtigkeitsbeschwerde ist demnach gutzuheissen, der angefochtene Entscheid des Einzelrichters im summarischen Verfahren aufzuheben und die Sache zur neuen Vorladung zur Rechtsöffnungsverhandlung und zum neuen Entscheid im Sinne der Erwägungen an die Vorinstanz zurückzuwei- 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