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PG170007 vom 21. März 2018</w:t>
      </w:r>
    </w:p>
    <w:p>
      <w:r>
        <w:t>ZH Obergericht, 2018-03-21, DE</w:t>
      </w:r>
    </w:p>
    <w:p>
      <w:r>
        <w:rPr>
          <w:b/>
        </w:rPr>
        <w:t xml:space="preserve">Quelle: </w:t>
      </w:r>
      <w:r>
        <w:t>https://mcp.opencaselaw.ch/entscheid/zh_obergericht_PG170007</w:t>
      </w:r>
    </w:p>
    <w:p>
      <w:r>
        <w:t>FR: ZH_OBERGERICHT PG170007 du 21 mars 2018</w:t>
      </w:r>
    </w:p>
    <w:p>
      <w:r>
        <w:t>IT: ZH_OBERGERICHT PG170007 del 21 marzo 2018</w:t>
      </w:r>
    </w:p>
    <w:p>
      <w:pPr>
        <w:pStyle w:val="Heading2"/>
      </w:pPr>
      <w:r>
        <w:t>Erwägungen</w:t>
      </w:r>
    </w:p>
    <w:p>
      <w:r>
        <w:rPr>
          <w:b/>
        </w:rPr>
        <w:t>E. 1</w:t>
      </w:r>
    </w:p>
    <w:p>
      <w:r>
        <w:t>In dem mit Eingabe vom 1. Dezember 2015 eingeleiteten Schiedsverfahren zwischen der A._____ GmbH &amp; Co, der Klägerin und hiesigen Gesuchstelle- rin (nachfolgend: Gesuchstellerin), und der B._____ S.P.A., der Beklagten und vorliegenden Gesuchsgegnerin (nachfolgend: Gesuchsgegnerin), erging am 16. August 2017 der "Final Award" des International Court of Arbitration (ICC) Nr. 17569/JHN/GFG/FS (act. 5). Darin wurde die Gesuchsgegnerin verpflichtet, der Gesuchstellerin einen Betrag von Euro 2'179'034.45 zuzüg- lich Zins von 8 % (Dispositiv Ziffer 1) sowie einen Betrag von Eu- ro 6'066'286.47 zuzüglich Zins von 8 % zu leisten (Dispositiv Ziffer 2). Ein weiteres Begehren der Gesuchstellerin wurde abgewiesen (Dispositiv Ziffer 3), ebenso wurden die Widerklagen der Gesuchsgegnerin abgelehnt (Dispo- sitiv Ziffer 4). Dispositiv Ziffer 5 bis 7 befassten sich sodann mit der Kosten- auflage und den Entschädigungsfolgen, während in Dispositiv Ziffer 8 schliesslich alle anderen Begehren und Gesuche abgewiesen wurden (act. 5 S. 292).</w:t>
      </w:r>
    </w:p>
    <w:p>
      <w:r>
        <w:rPr>
          <w:b/>
        </w:rPr>
        <w:t>E. 2</w:t>
      </w:r>
    </w:p>
    <w:p>
      <w:r>
        <w:t>Am 10. Oktober 2017 liess die Gesuchstellerin in Bezug auf den erwähnten Schiedsspruch gestützt auf Art. 193 Abs. 2 IPRG um Ausstellung einer Voll- streckbarkeitsbescheinigung ersuchen, unter Kosten- und Entschädigungs- folge zu Lasten der Gesuchsgegnerin (act. 1). Zudem stellte sie den Antrag, dass das Verfahren zu sistieren sei, bis feststehe, ob die Gesuchsgegnerin beim Bundesgericht ein Gesuch um Gewährung der aufschiebenden Wir- kung gestellt bzw. wie das Bundesgericht über ein allfälliges derartiges Ge- such entschieden habe (act. 1 Verfahrensantrag). Mit Eingabe vom 25. Oktober 2017 zog die Gesuchstellerin den Sistierungsantrag zurück (act. 6).</w:t>
      </w:r>
    </w:p>
    <w:p>
      <w:r>
        <w:rPr>
          <w:b/>
        </w:rPr>
        <w:t>E. 3</w:t>
      </w:r>
    </w:p>
    <w:p>
      <w:r>
        <w:t>Der ihr mit Verfügung vom 7. November 2017 auferlegte Kostenvorschuss von Fr. 4'000.- (act. 8) leistete die Gesuchstellerin innert Frist (act. 9). Eben-</w:t>
      </w:r>
    </w:p>
    <w:p>
      <w:r>
        <w:t>- 3 - falls mit Verfügung vom 7. November 2017 wurde Rechtsanwältin Y._____, … [Adresse], aufgefordert, sich dazu zu äussern, ob sie die Gesuchsgegne- rin im vorliegenden Verfahren vertrete, und bejahendenfalls eine Vollmacht einzureichen (act. 8). Nach einmaliger Fristerstreckung (act. 11) legitimierte sich Rechtsanwältin Y._____ als Rechtsvertreterin der Gesuchsgegnerin (act. 14).</w:t>
      </w:r>
    </w:p>
    <w:p>
      <w:r>
        <w:rPr>
          <w:b/>
        </w:rPr>
        <w:t>E. 4</w:t>
      </w:r>
    </w:p>
    <w:p>
      <w:r>
        <w:t>Mit Verfügung vom 17. Januar 2018 (act. 15) wurde der Gesuchsgegnerin sodann die Möglichkeit eingeräumt, sich innert einer Frist von zwanzig Ta- gen zum Gesuch der Gegenpartei zu äussern. Mit Eingabe vom 8. Februar 2018 teilte sie mit, sich am vorliegenden Verfahren nicht zu beteiligen und dementsprechend keine Stellungnahme einzureichen (act. 16). Diese Ein- gabe wurde der Gesuchstellerin mit Verfügung vom 23. Februar 2018 zur Kenntnisnahme zugestellt. Zudem wurde beim Bundesgericht eine erneute Bescheinigung eingeholt, dass im Verfahren 4A_505/2017 bis dato kein Ge- such um aufschiebende Wirkung gestellt worden sei (act. 18). Eine entspre- chende Bestätigung ging am 26. Februar 2018 ein (act. 20).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