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PF250042 vom 6. Oktober 2025</w:t>
      </w:r>
    </w:p>
    <w:p>
      <w:r>
        <w:t>ZH Obergericht, 2025-10-06, DE</w:t>
      </w:r>
    </w:p>
    <w:p>
      <w:r>
        <w:rPr>
          <w:b/>
        </w:rPr>
        <w:t xml:space="preserve">Quelle: </w:t>
      </w:r>
      <w:r>
        <w:t>https://mcp.opencaselaw.ch/entscheid/zh_obergericht_PF250042</w:t>
      </w:r>
    </w:p>
    <w:p>
      <w:r>
        <w:t>FR: ZH_OBERGERICHT PF250042 du 6 octobre 2025</w:t>
      </w:r>
    </w:p>
    <w:p>
      <w:r>
        <w:t>IT: ZH_OBERGERICHT PF250042 del 6 ottobre 2025</w:t>
      </w:r>
    </w:p>
    <w:p>
      <w:pPr>
        <w:pStyle w:val="Heading2"/>
      </w:pPr>
      <w:r>
        <w:t>Erwägungen</w:t>
      </w:r>
    </w:p>
    <w:p>
      <w:r>
        <w:rPr>
          <w:b/>
        </w:rPr>
        <w:t>E. 2</w:t>
      </w:r>
    </w:p>
    <w:p>
      <w:r>
        <w:t>Im Beschwerdeverfahren können die unrichtige Rechtsanwendung und die offensichtlich unrichtige Feststellung des Sachverhaltes geltend gemacht wer- den (Art. 320 ZPO). Die Beschwerde ist innerhalb der Rechtsmittelfrist schriftlich, begründet und mit Rechtsmittelanträgen versehen einzureichen (Art. 321 ZPO).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bzw. weshalb der angefochtene Entscheid nach Auffassung der die Beschwerde führenden Partei unrichtig sein soll. Sind auch diese Voraussetzungen nicht gegeben, ist auf die Beschwerde nicht einzutreten. Neue Anträge, neue Tatsachenbehauptungen und neue Beweismittel sind im Beschwerdeverfahren ausgeschlossen (Art. 326 Abs. 1 ZPO).</w:t>
      </w:r>
    </w:p>
    <w:p>
      <w:r>
        <w:rPr>
          <w:b/>
        </w:rPr>
        <w:t>E. 3</w:t>
      </w:r>
    </w:p>
    <w:p>
      <w:r>
        <w:t>Die Vorinstanz hielt im Zusammenhang mit ihrem Nichteintretensent- scheid zunächst fest, das erste Gesuch des Beschwerdeführers um Gewährung der unentgeltlichen Rechtspflege sei wegen Aussichtslosigkeit abgewiesen wor- den. Ein neues Gesuch sei zum vornherein ausgeschlossen, da sich der der Klage zugrundeliegende Sachverhalt in der Vergangenheit zugetragen habe und somit keiner Veränderung mehr zugänglich sei; auch echte Noven bringe der Be- schwerdeführer keine vor (act. 6 E. III.1.). Im Anschluss prüfte die Vorinstanz, ob der Beschwerdeführer unechte Noven anführen könne, womit sein Gesuch sinn- gemäss als Revisionsbegehren entgegenzunehmen wäre. In diesem Zusammen- hang kam die Vorinstanz zusammengefasst zum Schluss, die Begründung für seine erneut vorgebrachten Behauptungen entspreche derjenigen in seinem ers- ten Gesuch um unentgeltliche Rechtspflege. Diese Vorbringen des Beschwerde- führers zur Begründung seiner Klage seien somit weder neu, noch reiche er neue Unterlagen/Beweismittel dazu ein. Die genannten Vorbringen seien bereits mit Entscheid der Vorinstanz im Verfahren ED210062 vom 20. Dezember 2022 einer Prüfung unterzogen worden und es sei festgestellt worden, dass sie nicht über- zeugend bzw. nicht nachvollziehbar seien (act. 6 E. III.2.2.).</w:t>
      </w:r>
    </w:p>
    <w:p>
      <w:r>
        <w:t>- 4 - 4.1. Der Beschwerdeführer kritisiert einleitend die Erwägungen der Vorinstanz zu ihrer Zuständigkeit und stellt sich auf den Standpunkt, es könne keine Zustän- digkeit des Gerichts begründet werden in einem Prozess gegen eine Familienstif- tung in Form eines verbotenen Familienfideikommisses. Soweit verständlich spricht er der B._____ Stiftung die Rechtspersönlichkeit ab (act. 2 S. 3 unten ff. sowie act. 2 S. 9 ff.). In diesem Zusammenhang ist allerdings (nochmals) in Erin- nerung zu rufen, dass es der Beschwerdeführer selbst war, der die Klage beim Friedensrichteramt mit der Stiftung auf der Beklagtenseite eingereicht hatte (vgl. act. 7/2/1; vgl. bereits OGer ZH RU230003 vom 6. März 2023 E. II.2.2.). Er verhält sich widersprüchlich, wenn er nun geltend macht, die Stiftung, die er selbst einge- klagt hat, könne gar nicht eingeklagt werden. Dieses Verhalten mutet damit inso- weit rechtsmissbräuchlich an. Zur Frage der Zuständigkeit und der Partei- bzw. Prozessfähigkeit kann im Übrigen auf die Erwägungen im Urteil der Kammer vom</w:t>
      </w:r>
    </w:p>
    <w:p>
      <w:r>
        <w:rPr>
          <w:b/>
        </w:rPr>
        <w:t>E. 6</w:t>
      </w:r>
    </w:p>
    <w:p>
      <w:r>
        <w:t>März 2023 verwiesen werden. Entgegen der Ansicht des Beschwerdeführers ist nach wie vor davon auszugehen, dass die aktuell im Handelsregister eingetra- gene Stiftung identisch mit der früher eingetragenen Stiftung ist (OGer ZH RU230003 vom 6. März 2023 E. II.2.2.). Dass die fragliche juristische Person wi- derrechtliche Zwecke in Form eines Familienfideikommisses verfolge, bleibt eine unbelegte Konstruktion des Beschwerdeführers. Damit hat es sein Bewenden. 4.2. Der vorinstanzlichen Feststellung, die Vorbringen des Beschwerdeführers seien nicht neu und bereits abgeurteilt worden, hält der Beschwerdeführer entge- gen, die Vorinstanz habe im ersten Gesuch nicht alle seine Vorbringen (konkret: Untergang des Kaufvertrags vom 12. Februar 2003 durch Verrechnung) geprüft, was im damaligen Rechtsmittelverfahren wegen Novenverbots nicht habe geheilt werden können, und er bringe neue Tatsachen über die aktuell eingetragene Stif- tung als Familienfideikommiss vor (act. 2 S. 7 ff.). 4.2.1. Einleitend ist festzuhalten, dass die Verrechnungseinrede bereits Gegen- stand der Beschwerdeverfahren bei der Kammer und beim Bundesgericht im Rahmen des ersten Gesuchs um Gewährung der unentgeltlichen Rechtspflege war (vgl. OGer RU230003 vom 6. März 2023 E. III.3.3.3. sowie BGer 5A_277/2023 vom 15. November 2023 E. 2.3.4.). Beide Beschwerdeinstanzen</w:t>
      </w:r>
    </w:p>
    <w:p>
      <w:r>
        <w:t>- 5 - verwarfen jedoch die Einrede. Unabhängig davon widerspricht sich der Beschwer- deführer – wie bereits bei der Frage der Rechtspersönlichkeit der Stiftung – auch im vorliegenden Zusammenhang: Einerseits macht er geltend, seine – zwangsläu- fig in diesem Zeitpunkt bereits vorgebrachten – Tatsachenbehauptungen seien damals von der Vorinstanz nicht gehört worden, andererseits habe dies im Rechtsmittelverfahren nicht mehr geheilt werden können, da er keine neuen – das heisst: bis zu diesem Zeitpunkt noch nicht vorgebrachte – Tatsachen habe vor- bringen dürfen. Die Kammer kam im damaligen Entscheid allerdings zum Schluss, dass die Verrechnungseinrede erstmalig in ihrem Beschwerdeverfahren vorgebracht wurde (OGer RU230003 vom 6. März 2023 E. III.3.3.3). Weshalb der Beschwerdeführer die Einrede damals im erstinstanzlichen Verfahren nicht vorge- bracht hatte, blieb offen; dies kann jedoch im Rahmen eines erneuten (Revi-si- ons-)Gesuchs um Gewährung der unentgeltlichen Rechtspflege nicht ohne Weite- res nachgeholt werden (vgl. dahingehend korrekte rechtliche Erwägung der Vorin- stanz in act. 6 E. II.). 4.2.2. Was die – angeblich – neuen Tatsachen über die aktuell eingetragene Stiftung als Familienfideikommiss betrifft (act. 2 S. 10 ff.), so kann auf die vorste- hende Erwägung 4.1. verwiesen werden. Im Übrigen blieb auch hier offen, wes- halb er seine neuen Behauptung nicht bereits im Rahmen des ersten Verfahrens um Gewährung der unentgeltlichen Rechtspflege vorbringen konnte. 4.3. Schliesslich kann der Vorinstanz auch keine Rechtsverweigerung bezüg- lich des Antrags auf Sistierung vorgeworfen werden (act. 2 S. 3 unten), zumal sie mit ihrem Nichteintretensentscheid in der Sache selbst – zumindest implizit – auch über diesen Antrag entschieden hat. 4.4. Zusammengefasst ist die Beschwerde abzuweisen. Der prozessuale An- trag auf Sistierung des Beschwerdeverfahrens ist damit gegenstandslos und ab- zuschreiben. 5. Ausgangsgemäss wird der Beschwerdeführer für das zweitinstanzliche Verfahren kostenpflichtig (Art. 106 Abs. 1 ZPO i.V.m. Art. 95 ZPO). Die Gerichts- gebühr für das zweitinstanzliche Verfahren ist in Anwendung von § 12 Abs. 1 und</w:t>
      </w:r>
    </w:p>
    <w:p>
      <w:r>
        <w:t>- 6 - 2 in Verbindung mit § 3 Abs. 1 sowie § 8 Abs. 1 GebV OG auf CHF 500.– festzu- setzen und dem Beschwerdeführer aufzuerlegen. Eine Parteientschädigung bean- tragt der Beschwerdeführer nicht und wäre ihm ohnehin infolge seines Unterlie- gens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