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PF250022 vom 8. August 2025</w:t>
      </w:r>
    </w:p>
    <w:p>
      <w:r>
        <w:t>ZH Obergericht, 2025-08-08, DE</w:t>
      </w:r>
    </w:p>
    <w:p>
      <w:r>
        <w:rPr>
          <w:b/>
        </w:rPr>
        <w:t xml:space="preserve">Quelle: </w:t>
      </w:r>
      <w:r>
        <w:t>https://mcp.opencaselaw.ch/entscheid/zh_obergericht_PF250022</w:t>
      </w:r>
    </w:p>
    <w:p>
      <w:r>
        <w:t>FR: ZH_OBERGERICHT PF250022 du 8 août 2025</w:t>
      </w:r>
    </w:p>
    <w:p>
      <w:r>
        <w:t>IT: ZH_OBERGERICHT PF250022 del 8 agosto 2025</w:t>
      </w:r>
    </w:p>
    <w:p>
      <w:pPr>
        <w:pStyle w:val="Heading2"/>
      </w:pPr>
      <w:r>
        <w:t>Erwägungen</w:t>
      </w:r>
    </w:p>
    <w:p>
      <w:r>
        <w:rPr>
          <w:b/>
        </w:rPr>
        <w:t>E. 1.1</w:t>
      </w:r>
    </w:p>
    <w:p>
      <w:r>
        <w:t>Mit Verfügung vom 19. April 1994 wurde über die B._____ AG in Liquida- tion (nachfolgend: gelöschte Rechtseinheit) der Konkurs eröffnet, das Konkursver- fahren jedoch am 4. Mai 1994 mangels Aktiven eingestellt. Am tt.mm.1994 wurde die Gesellschaft im Handelsregister gelöscht (vgl. act. 5/3/2).</w:t>
      </w:r>
    </w:p>
    <w:p>
      <w:r>
        <w:rPr>
          <w:b/>
        </w:rPr>
        <w:t>E. 1.2</w:t>
      </w:r>
    </w:p>
    <w:p>
      <w:r>
        <w:t>Mit Eingabe vom 9. Mai 2025 gelangte der Gesuchsteller und Berufungs- kläger (nachfolgend: Berufungskläger) an das Bezirksgericht Zürich, Einzelgericht im summarischen Verfahren (nachfolgend: Vorinstanz), und ersuchte im Wesentli- chen um Wiedereintragung der gelöschten Rechtseinheit (act. 5/1). Mit Verfügung vom 22. Mai 2025 trat die Vorinstanz auf das Gesuch um Wiedereintragung nicht ein, setzte die Entscheidgebühr auf Fr. 500.– fest und auferlegte diese dem Beru- fungskläger (act. 5/4 = act. 3 = act. 4 [Aktenexemplar], fortan zitiert als act. 4).</w:t>
      </w:r>
    </w:p>
    <w:p>
      <w:r>
        <w:rPr>
          <w:b/>
        </w:rPr>
        <w:t>E. 1.3</w:t>
      </w:r>
    </w:p>
    <w:p>
      <w:r>
        <w:t>Gegen diese Verfügung erhob der Berufungskläger mit Eingabe vom</w:t>
      </w:r>
    </w:p>
    <w:p>
      <w:r>
        <w:rPr>
          <w:b/>
        </w:rPr>
        <w:t>E. 5</w:t>
      </w:r>
    </w:p>
    <w:p>
      <w:r>
        <w:t>Der gelöschten Rechtseinheit fehlt es an Organen, die für sie handeln kön- nen. Folglich liegt ein Organisationsmangel gemäss Art. 731b OR vor. In einem solchen Fall hat das Gericht zusammen mit der Anordnung der Wiedereintragung die erforderlichen Massnahmen zu ergreifen (Art. 935 Abs. 3 OR). Der Mangel muss vom Gericht beseitigt werden, bevor die Rechtseinheit wieder eingetragen werden kann (MEISTERHANS/GWELESSIANI, Praxiskommentar zur Handelsregister- verordnung, 4. Aufl. 2021, Art. 164 N 710; RÜETSCHI, a.a.O., Art. 164 N 42). Dies- bezüglich kommt ein reformatorischer Entscheid der Kammer nicht in Frage, da die Vorinstanz darüber noch nicht entschieden hat. Die Sache ist daher an sie zu- rückzuweisen zwecks Ernennung und Einsetzung eines Organs resp. Beurteilung, ob ein Sachwalter einzusetzen ist, und Festlegung der hierzu erforderlichen Rah- menbedingungen (vgl. Art. 731b Abs. 1bis Ziff. 2 und Abs. 2 OR; zur Bevorschus- sung der voraussichtlichen Kosten vgl. RÜETSCHI, Zum Verfahren der Wiederein- tragung ins Handelsregister gemäss Art. 164 HRegV, REPRAX 4/2011 S. 23 ff., 33; vgl. BGer 4A_467/2018 vom 9. Mai 2019, E. 7). Nach Bestimmung und Ein- setzung eines Organs resp. Sachwalters hat die Vorinstanz die Wiedereintragung mittels Anweisung an das Handelsregisteramt zu veranlassen.</w:t>
      </w:r>
    </w:p>
    <w:p>
      <w:r>
        <w:rPr>
          <w:b/>
        </w:rPr>
        <w:t>E. 6</w:t>
      </w:r>
    </w:p>
    <w:p>
      <w:r>
        <w:t>Bei diesem Ausgang des Verfahrens fällt die Entscheidgebühr ausser An- satz. Der geleistete Vorschuss ist dem Berufungskläger zurückzuerstatten. Vorbe- halten bleibt ein allfälliges Verrechnungsrecht des Staates. Der Berufungskläger verlangt eine Entschädigung. Für eine Parteientschädigung aus der Gerichts- kasse besteht jedoch keine gesetzliche Grundlage.</w:t>
      </w:r>
    </w:p>
    <w:p>
      <w:r>
        <w:t>- 12 - Es wird erkannt: 1. Die Berufung wird gutgeheissen und die Verfügung des Einzelgerichts im summarischen Verfahren des Bezirksgerichts Zürich vom 22. Mai 2025 wird aufgehoben. Die Sache wird zur neuen Entscheidung im Sinne der Erwä- gungen an die Vorinstanz zurückgewiesen. 2. Für das Berufungsverfahren werden keine Gerichtskosten erhoben. Der vom Berufungskläger geleistete Vorschuss wird ihm vorbehältlich eines allfälligen Verrechnungsrechts zurückerstattet. 3. Es wird keine Parteientschädigung zugesprochen. 4. Schriftliche Mitteilung an den Berufungskläger sowie unter Rücksendung der erstinstanzlichen Akten an das Bezirksgericht Zürich, je gegen Empfangs- schein.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10'000.–. Die Beschwerde an das Bundesgericht hat keine aufschiebende Wirkung. Obergericht des Kantons Zürich II. Zivilkammer i.V. Der Gerichtsschreiber: MLaw S. Widmer versandt am:</w:t>
      </w:r>
    </w:p>
    <w:p>
      <w:r>
        <w:rPr>
          <w:b/>
        </w:rPr>
        <w:t>E. 8</w:t>
      </w:r>
    </w:p>
    <w:p>
      <w:r>
        <w:t>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