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PF250016 vom 5. Juni 2025</w:t>
      </w:r>
    </w:p>
    <w:p>
      <w:r>
        <w:t>ZH Obergericht, 2025-06-05, DE</w:t>
      </w:r>
    </w:p>
    <w:p>
      <w:r>
        <w:rPr>
          <w:b/>
        </w:rPr>
        <w:t xml:space="preserve">Quelle: </w:t>
      </w:r>
      <w:r>
        <w:t>https://mcp.opencaselaw.ch/entscheid/zh_obergericht_PF250016</w:t>
      </w:r>
    </w:p>
    <w:p>
      <w:r>
        <w:t>FR: ZH_OBERGERICHT PF250016 du 5 juin 2025</w:t>
      </w:r>
    </w:p>
    <w:p>
      <w:r>
        <w:t>IT: ZH_OBERGERICHT PF250016 del 5 giugno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Eingabe vom 3. März 2025 (act. 7/1) stellte die Gesuchstellerin und Be- schwerdegegnerin (nachfolgend: Beschwerdegegnerin) gegen den Gesuchsgeg- ner und Beschwerdeführer (nachfolgend: Beschwerdeführer) beim Einzelgericht im summarischen Verfahren des Bezirksgerichts Meilen (nachfolgend: Vorinstanz) ein Ausweisungsbegehren betreffend zwei Lagerräume in der Liegenschaft C._____-strasse …, D._____. Mit Verfügung vom 4. März 2025 setzte die Vorin- stanz dem Beschwerdeführer Frist zur schriftlichen Stellungnahme zum Auswei- sungsbegehren an, verbunden mit dem Hinweis, dass im Säumnisfall aufgrund der Akten entschieden werde (act. 7/4). Die Verfügung vom 4. März 2025 konnte dem Beschwerdeführer mit Hilfe des Stadtammann- und Betreibungsamtes Zürich … am 11. März 2025 zugestellt werden (act. 7/5/2, act. 7/6). Er liess sich innert Frist nicht vernehmen. In der Folge hiess die Vorinstanz das Ausweisungsbegeh- ren gestützt auf die Behauptungen und eingereichten Unterlagen der Beschwer- degegnerin mit Urteil vom 4. April 2025 gut und verpflichtete den Beschwerdefüh- rer zur unverzüglichen Räumung und ordnungsgemässen Rückgabe der beiden Lagerräume, unter Androhung der Zwangsvollstreckung im Unterlassungsfall (act. 7/9 = act. 3 = act. 6 [Aktenexemplar]).</w:t>
      </w:r>
    </w:p>
    <w:p>
      <w:r>
        <w:rPr>
          <w:b/>
        </w:rPr>
        <w:t>E. 1.2</w:t>
      </w:r>
    </w:p>
    <w:p>
      <w:r>
        <w:t>Dagegen erhob der Beschwerdeführer mit Eingabe vom 15. Mai 2025 (Da- tum Poststempel) fristgerecht (vgl. act. 7/12/2) ein Rechtsmittel bei der Kammer (act. 2), welches angesichts des Streitwerts von Fr. 1'650.– (vgl. act. 7/4 E. 2.) als Beschwerde entgegen zu nehmen ist. Die vorinstanzlichen Akten wurden von Am- tes wegen beigezogen (act. 7/1–12). Von der Einholung einer Beschwerdeantwort wurde abgesehen (Art. 322 Abs. 1 ZPO) und auf das Einholen eines Kostenvor- schusses (Art. 98 ZPO) umständehalber verzichtet. Das Verfahren ist spruchreif.</w:t>
      </w:r>
    </w:p>
    <w:p>
      <w:r>
        <w:rPr>
          <w:b/>
        </w:rPr>
        <w:t>E. 2.1</w:t>
      </w:r>
    </w:p>
    <w:p>
      <w:r>
        <w:t>Mit der Beschwerde können die unrichtige Rechtsanwendung und die of- fensichtlich unrichtige Feststellung des Sachverhalts geltend gemacht werden (Art. 320 ZPO). Die Beschwerde ist innerhalb der Rechtsmittelfrist schriftlich, be-</w:t>
      </w:r>
    </w:p>
    <w:p>
      <w:r>
        <w:t>- 3 - gründet und mit Rechtsmittelanträgen versehen einzureichen (Art. 321 ZPO). Die Beschwerde erhebende Partei hat darzulegen, an welchen Mängeln der ange- fochtene Entscheid leidet und aus welchen Gründen er falsch ist. Neue Anträge, neue Tatsachenbehauptungen und neue Beweismittel sind im Beschwerdeverfah- ren ausgeschlossen (Art. 326 Abs. 1 ZPO). Das absolute Novenverbot gilt auch für die Partei, welche – wie hier der Beschwerdeführer – im vorinstanzlichen Ver- fahren säumig geblieben ist (vgl. OGer ZH LF180101 vom 15. Februar 2019, E. III.3.1).</w:t>
      </w:r>
    </w:p>
    <w:p>
      <w:r>
        <w:rPr>
          <w:b/>
        </w:rPr>
        <w:t>E. 2.2</w:t>
      </w:r>
    </w:p>
    <w:p>
      <w:r>
        <w:t>Der Beschwerdeführer bringt mit seiner Beschwerde im Wesentlichen vor, nach Ablauf des Mietvertrags mit der Verwaltung der Beschwerdegegnerin eine mündliche Vereinbarung geschlossen zu haben, wonach er die beiden Lager- räume solange weiter nutzen dürfe, bis ein definitives, bewilligtes Bauprojekt vor- liege. Im Gegenzug dafür überwache er die Liegenschaft vor Vandalen und Be- setzern. Gestützt darauf sowie nach dem Grundsatz von Treu und Glauben bean- tragt er, das Mietobjekt weiterhin zu nutzen (act. 2). Nachdem sich der Beschwer- deführer im vorinstanzlichen Verfahren nicht vernehmen liess, sind diese Vorbrin- gen des Beschwerdeführers allerdings verspätet und haben unberücksichtigt zu bleiben. Es fehlt daher an einer hinreichenden Begründung der Beschwerde, wes- halb darauf nicht einzutreten ist.</w:t>
      </w:r>
    </w:p>
    <w:p>
      <w:r>
        <w:rPr>
          <w:b/>
        </w:rPr>
        <w:t>E. 3</w:t>
      </w:r>
    </w:p>
    <w:p>
      <w:r>
        <w:t>Ausgangsgemäss wird der Beschwerdeführer für das zweitinstanzliche Verfahren kostenpflichtig (Art. 106 Abs. 1 ZPO). Ausgehend von einem Streitwert von Fr. 1'650.– ist die Entscheidgebühr für das Beschwerdeverfahren in Anwendung von § 12 Abs. 1 und 2 i.V.m. § 4 Abs. 1 und 2 i.V.m. § 8 Abs. 1 GebV OG auf Fr. 150.– festzusetzen. Parteientschädigungen sind nicht zuzusprechen; dem Be- schwerdeführer nicht, weil er unterliegt, der Beschwerdegegnerin nicht, da ihr keine Umtriebe entstanden sind, die zu entschädigen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