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PF240052 vom 22. Januar 2025</w:t>
      </w:r>
    </w:p>
    <w:p>
      <w:r>
        <w:t>ZH Obergericht, 2025-01-22, DE</w:t>
      </w:r>
    </w:p>
    <w:p>
      <w:r>
        <w:rPr>
          <w:b/>
        </w:rPr>
        <w:t xml:space="preserve">Quelle: </w:t>
      </w:r>
      <w:r>
        <w:t>https://mcp.opencaselaw.ch/entscheid/zh_obergericht_PF240052</w:t>
      </w:r>
    </w:p>
    <w:p>
      <w:r>
        <w:t>FR: ZH_OBERGERICHT PF240052 du 22 janvier 2025</w:t>
      </w:r>
    </w:p>
    <w:p>
      <w:r>
        <w:t>IT: ZH_OBERGERICHT PF240052 del 22 gennaio 2025</w:t>
      </w:r>
    </w:p>
    <w:p>
      <w:pPr>
        <w:pStyle w:val="Heading2"/>
      </w:pPr>
      <w:r>
        <w:t>Erwägungen</w:t>
      </w:r>
    </w:p>
    <w:p>
      <w:r>
        <w:rPr>
          <w:b/>
        </w:rPr>
        <w:t>E. 3</w:t>
      </w:r>
    </w:p>
    <w:p>
      <w:r>
        <w:t>Im Beschwerdeverfahren sind neue Anträge, neue Tatsachenbehaup- tungen und neue Beweismittel (Noven) ausgeschlossen (Art. 326 ZPO). Das ab- solute Novenverbot gilt auch für die Partei, welche – wie hier der Beschwerdefüh- rer – im vorinstanzlichen Verfahren auf eine Stellungnahme verzichtet hat (vgl. OGerZH PF230034 vom 3. Juli 2023, E. II.4.1 und LF180101 vom 15. Februar 2019, E. III.3.1). Die neuen Vorbringen des Beschwerdeführers im Rechtsmittel-</w:t>
      </w:r>
    </w:p>
    <w:p>
      <w:r>
        <w:t>- 7 - verfahren wie auch die erstmals eingereichten Beweismittel (act. 4/1-5) erfolgten verspätet und haben unberücksichtigt zu bleiben. Auf die Beschwerde ist somit nicht einzutreten. 4.1 Und selbst wenn man die neuen Vorbringen und Beweismittel berück- sichtigen wollte, könnte der Beschwerdeführer daraus nichts zu seinen Gunsten ableiten. Die Kündigung mit amtlichem Formular vom 26. März 2024 wurde von der Beschwerdegegnerin vor Vorinstanz belegt (vgl. act. 6/1b Blatt 4). Dass der Beschwerdeführer die entsprechende Sendung nicht entgegengenommen hat, ist nicht von Bedeutung. Wie die Vorinstanz zutreffend erwog, entfaltet die Kündi- gung nach der absoluten Empfangstheorie ihre Wirkung im Zeitpunkt, in dem sie in den Machtbereich des Empfängers gelangt. Legt der Postbote wie im vorliegen- den Fall dem abwesenden Empfänger eine Abholungseinladung in den Briefkas- ten, gilt die Kündigung als zugestellt, sobald es dem Empfänger zumutbar ist, die Sendung auf der Post abzuholen. Allgemein ist vom Tag auszugehen, an dem die Sendung auf dem Postamt erstmals abgeholt werden kann. Dies war im vorlie- genden Fall am 28. März 2024 (vgl. act. 5A S. 3 f.). Diesen Sachverhalt vermag der Beschwerdeführer mit seiner Behauptung, niemand könne beweisen, was ge- nau in dem Briefumschlag gewesen sei, nicht wirksam in Frage zu stellen. Entgegen der Behauptung des Beschwerdeführers erfolgte die Kündigung vom 26. März 2024 per Ende April 2024 wegen ausstehender Mietzinsen (nur) für den Monat Februar 2024 (vgl. act. 6/1b Blatt 3). Dass kurz davor am 12. März 2024 auch die ausstehenden Mietzinsen für den Monat März 2024 im Sinne von Art. 257d OR abgemahnt wurden, ändert an der Gültigkeit der vorerwähnten Kün- digung nichts. Unerheblich ist sodann, dass die Beschwerdegegnerin erst ein paar Tage nach Ablauf der Kündigungsfrist bzw. in der zweiten Maiwoche um Ab- gabe der Schlüssel ersucht haben soll. Die geltend gemachte Verrechnungszah- lung vom 1. Dezember 2023 von Fr. 630.– (act. 4/3-4) deckt den Mietzins- ausstand für den Monat Februar 2024 in Höhe von Fr. 750.– ohnehin nicht. Und die weitere Verrechnungsforderung über Fr. 180.– blieb gänzlich unsubstantiiert. Die weiteren Ausführungen des Beschwerdeführers zur Hauswartung, Waschkarte und Reinigungskraft (act. 2 S. 2-4) bildeten nicht Gegenstand des</w:t>
      </w:r>
    </w:p>
    <w:p>
      <w:r>
        <w:t>- 8 - erstinstanzlichen Ausweisungsverfahrens, weshalb darauf auch im Rechtsmittel- verfahren nicht einzutreten gewesen wäre. 4.2 Nach dem vorstehend Gesagten wäre die Beschwerde des Beschwer- deführers, selbst wenn auf die neuen Vorbringen des Beschwerdeführers einge- gangen und die neuen Beweismittel berücksichtigt werden könnten,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