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PF240046 vom 18. Dezember 2024</w:t>
      </w:r>
    </w:p>
    <w:p>
      <w:r>
        <w:t>ZH Obergericht, 2024-12-18, DE</w:t>
      </w:r>
    </w:p>
    <w:p>
      <w:r>
        <w:rPr>
          <w:b/>
        </w:rPr>
        <w:t xml:space="preserve">Quelle: </w:t>
      </w:r>
      <w:r>
        <w:t>https://mcp.opencaselaw.ch/entscheid/zh_obergericht_PF240046</w:t>
      </w:r>
    </w:p>
    <w:p>
      <w:r>
        <w:t>FR: ZH_OBERGERICHT PF240046 du 18 décembre 2024</w:t>
      </w:r>
    </w:p>
    <w:p>
      <w:r>
        <w:t>IT: ZH_OBERGERICHT PF240046 del 18 dicembre 2024</w:t>
      </w:r>
    </w:p>
    <w:p>
      <w:pPr>
        <w:pStyle w:val="Heading2"/>
      </w:pPr>
      <w:r>
        <w:t>Erwägungen</w:t>
      </w:r>
    </w:p>
    <w:p>
      <w:r>
        <w:rPr>
          <w:b/>
        </w:rPr>
        <w:t>E. 1.1</w:t>
      </w:r>
    </w:p>
    <w:p>
      <w:r>
        <w:t>Am tt.mm 2020 verstarb die am tt. August 1932 geborene E._____ geb. F._____ (nachfolgend Erblasserin), wohnhaft gewesen in G._____ (act. 25/2). Als gesetzliche Erben hinterliess sie ihre drei Söhne B._____ (im vorinstanzlichen Ver- fahren Beschwerdeführer und vorliegend Beschwerdegegner, nachfolgend Be- schwerdegegner), C._____ (nachfolgend Verfahrensbeteiligter 1) und D._____ (nachfolgend Verfahrensbeteiligter 2; vgl. act. 53 E. I/1.). Der Nachlass umfasst eine Liegenschaft am H._____-strasse …, G._____ (nachfolgend Nachlassliegen- schaft). In ihrer letztwilligen Verfügung vom 16. März 2017 ernannte die Erblasserin I._____, J._____, und ersatzweise die A._____ AG (im vorinstanzlichen Verfahren Beschwerdegegnerin und vorliegend Beschwerdeführerin, nachfolgend Beschwer- deführerin) mit der Willensvollstreckung (act. 3/1b Ziff. 4). Nachdem I._____ das Amt als Willensvollstrecker abgelehnt und die Beschwerdeführerin die Annahme des Willensvollstreckermandates erklärt hatte, stellte das Einzelgericht im summa- rischen Verfahren des Bezirksgerichts Andelfingen (nachfolgend Vorinstanz) am 23. November 2020 die Willensvollstrecker-Bescheinigung aus (act. 25/2).</w:t>
      </w:r>
    </w:p>
    <w:p>
      <w:r>
        <w:rPr>
          <w:b/>
        </w:rPr>
        <w:t>E. 1.2</w:t>
      </w:r>
    </w:p>
    <w:p>
      <w:r>
        <w:t>Mit Eingabe vom 10. Oktober 2022 reichte der Beschwerdegegner bei der Vorinstanz eine Aufsichtsbeschwerde gegen die Beschwerdeführerin ein und be- antragte die Absetzung der Beschwerdeführerin als Willensvollstreckerin bzw. eventualiter die Verhängung geeigneter Disziplinarmassnahmen sowie die Ausrich- tung angemessener Abschlagszahlungen an die Erben (act. 1, act. 7). Die Verfah- rensbeteiligten 1 und 2 nahmen mit Eingaben vom 24. Februar 2023 (act. 19) bzw. 26. Februar 2023 (act. 21) Stellung und beantragten jeweils die Abweisung der Auf- sichtsbeschwerde. Mit Eingabe vom 6. März 2023 reichte die Beschwerdeführerin ihre Stellungnahme ein und beantragte im Wesentlichen ebenfalls die Abweisung der Aufsichtsbeschwerde (act. 24). Der Beschwerdegegner reichte am 20. April 2023 eine weitere Eingabe ein (act. 26), zu welcher sich der Verfahrensbeteiligte 1 mit Eingabe vom 22. Dezember 2023 (act. 38), der Verfahrensbeteiligte 2 mit Ein- gabe vom 27. Dezember 2023 (act. 40) und die Beschwerdeführerin mit Eingabe vom 29. Dezember 2023 (act. 42) äusserten.</w:t>
      </w:r>
    </w:p>
    <w:p>
      <w:r>
        <w:t>- 3 -</w:t>
      </w:r>
    </w:p>
    <w:p>
      <w:r>
        <w:rPr>
          <w:b/>
        </w:rPr>
        <w:t>E. 1.3</w:t>
      </w:r>
    </w:p>
    <w:p>
      <w:r>
        <w:t>Mit Urteil vom 22. Mai 2024 hiess die Vorinstanz die Aufsichtsbeschwerde teilweise gut und erliess folgendes Erkenntnis (act. 47 = act. 53 [Aktenexemplar] = act. 55, fortan zitiert als act.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