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PF240033 vom 11. Juli 2024</w:t>
      </w:r>
    </w:p>
    <w:p>
      <w:r>
        <w:t>ZH Obergericht, 2024-07-11, DE</w:t>
      </w:r>
    </w:p>
    <w:p>
      <w:r>
        <w:rPr>
          <w:b/>
        </w:rPr>
        <w:t xml:space="preserve">Quelle: </w:t>
      </w:r>
      <w:r>
        <w:t>https://mcp.opencaselaw.ch/entscheid/zh_obergericht_PF240033</w:t>
      </w:r>
    </w:p>
    <w:p>
      <w:r>
        <w:t>FR: ZH_OBERGERICHT PF240033 du 11 juillet 2024</w:t>
      </w:r>
    </w:p>
    <w:p>
      <w:r>
        <w:t>IT: ZH_OBERGERICHT PF240033 del 11 luglio 2024</w:t>
      </w:r>
    </w:p>
    <w:p>
      <w:pPr>
        <w:pStyle w:val="Heading2"/>
      </w:pPr>
      <w:r>
        <w:t>Erwägungen</w:t>
      </w:r>
    </w:p>
    <w:p>
      <w:r>
        <w:rPr>
          <w:b/>
        </w:rPr>
        <w:t>E. 1</w:t>
      </w:r>
    </w:p>
    <w:p>
      <w:r>
        <w:t>Der Gesuchsteller und Beschwerdeführer (nachfolgend: Beschwerdeführer) gelangte mit Eingabe vom 11. Juni 2024 an das Bezirksgericht Zürich (nachfol- gend: Vorinstanz) betreffend Entgegennahme einer Schutzschrift nach Art. 270 ZPO (act. 1). Mit Urteil vom 13. Juni 2024 erkannte die Vorinstanz die Entgegennahme der Eingabe als Schutzschrift und auferlegte die Entscheidge- bühr von Fr. 2'000.– dem Beschwerdeführer (act. 4 = act. 8).</w:t>
      </w:r>
    </w:p>
    <w:p>
      <w:r>
        <w:rPr>
          <w:b/>
        </w:rPr>
        <w:t>E. 2</w:t>
      </w:r>
    </w:p>
    <w:p>
      <w:r>
        <w:t>Alles unter Kosten- und Entschädigungsfolgen."</w:t>
      </w:r>
    </w:p>
    <w:p>
      <w:r>
        <w:rPr>
          <w:b/>
        </w:rPr>
        <w:t>E. 3</w:t>
      </w:r>
    </w:p>
    <w:p>
      <w:r>
        <w:t>Die Akten der Vorinstanz wurden beigezogen (act. 1-6). Das Verfahren er- weist sich als spruchreif.</w:t>
      </w:r>
    </w:p>
    <w:p>
      <w:r>
        <w:rPr>
          <w:b/>
        </w:rPr>
        <w:t>E. 4</w:t>
      </w:r>
    </w:p>
    <w:p>
      <w:r>
        <w:t>Der Beschwerdeführer rügt einzig die Höhe der vorinstanzlich festgesetzten Entscheidgebühr. Zur Begründung führt er im Wesentlichen aus, dass Gerichts- kosten Kausalabgaben seien, die dem Kostendeckungs- und Äquivalenzprinzip genügen müssten. Im vorliegenden Fall habe die Vorinstanz für den Erhalt der Schutzschrift, die Bearbeitung und die Mitteilung, dass die Schutzschrift einge- gangen sei, ohne Zustellung an die Gegenpartei Fr. 2'000.– verlangt. Es habe keine administrative Tätigkeit gegeben, welche Fr. 2'000.– rechtfertigen würde. Zum Vergleich verweist er auf den Kanton Tessin. Dort verlangten die Richter, die mit Schutzschriften konfrontiert würden, zwischen Fr. 0.– und Fr. 200.– (act. 9 S. 2 f.).</w:t>
      </w:r>
    </w:p>
    <w:p>
      <w:r>
        <w:t>- 3 -</w:t>
      </w:r>
    </w:p>
    <w:p>
      <w:r>
        <w:rPr>
          <w:b/>
        </w:rPr>
        <w:t>E. 5.1</w:t>
      </w:r>
    </w:p>
    <w:p>
      <w:r>
        <w:t>Der Kostenentscheid ist selbstständig mit Beschwerde anfechtbar (Art. 110 ZPO). Der Beschwerdeführer weist selbst darauf hin, dass die Gerichts- gebühren erfahrungsgemäss die Kosten der Gerichte bei weitem nicht decken (act. 9 S. 2). Zu prüfen ist vorliegend somit einzig, ob das Äquivalenzprinzip ver- letzt ist. Das Äquivalenzprinzip konkretisiert das Verhältnismässigkeitsprinzip und das Willkürverbot für den Bereich der Kausalabgaben. Es verlangt, dass die Höhe der Gebühr im Einzelfall in einem vernünftigen Verhältnis zum Wert steht, den die staatliche Leistung für den Abgabepflichtigen hat. Nicht erforderlich ist dabei, dass jede Gebühr die im jeweiligen Einzelfall entstandenen Kosten nicht übersteigt. Gerichte und Behörden haben dem Interesse des Abgabepflichtigen an der fragli- chen Amtshandlung bei der Gebührenfestsetzung Rechnung zu tragen. Eine ge- wisse Schematisierung ist zulässig. Insbesondere dürfen und müssen in gewichti- gen Geschäften Gebühren erhoben werden, welche die entstandenen Kosten übersteigen, um die Verluste in kleineren Fällen auszugleichen (BGE 120 Ia 171 E. 2a; HUNGERBÜHLER, Grundsätze des Kausalabgabenrechts, ZBl 2003 S. 505 ff., S. 522 f.).</w:t>
      </w:r>
    </w:p>
    <w:p>
      <w:r>
        <w:rPr>
          <w:b/>
        </w:rPr>
        <w:t>E. 5.2</w:t>
      </w:r>
    </w:p>
    <w:p>
      <w:r>
        <w:t>Die Gebührenverordnung des Obergerichts des Kantons Zürich vom 8. Sep- tember 2010 (GebV OG) sieht für die Entgegennahme einer Schutzschrift eine Gebühr von Fr. 500.– bis Fr. 2'000.– vor (§ 8 Abs. 2 GebV OG). Die vorliegend auferlegte Gebühr von Fr. 2'000.– liegt im von der GebV OG vorgesehenen Rah- men. Der Hinweis des Beschwerdeführers, wonach die Gebühr im Tessin zwi- schen Fr. 0.– bis Fr. 200.– betrage, ist nicht massgeblich (act. 9 S. 3). Die Entge- gennahme der Schutzschrift wurde im Kanton Zürich und nicht im Kanton Tessin verlangt. Es gelten die im Kanton Zürich massgebenden Tarife.</w:t>
      </w:r>
    </w:p>
    <w:p>
      <w:r>
        <w:rPr>
          <w:b/>
        </w:rPr>
        <w:t>E. 5.3</w:t>
      </w:r>
    </w:p>
    <w:p>
      <w:r>
        <w:t>Zu prüfen bleibt, ob die vorliegend auferlegte Gebühr innerhalb des vorgege- benen Rahmens gemäss dem Äquivalenzprinzip festgelegt wurde. Kriterien für die Festsetzung der Gebühren bilden einerseits der Streitwert bzw. das tatsächli- che Streitinteresse und andererseits der Zeitaufwand des Gerichts und die Schwierigkeit des Falles (§ 2 Abs. 1 GebV OG). Das Gericht setzt die Entscheid- gebühr nach Ermessen fest. Mit Beschwerde kann die unrichtige Rechtsanwen-</w:t>
      </w:r>
    </w:p>
    <w:p>
      <w:r>
        <w:t>- 4 - dung oder die offensichtlich unrichtige Feststellung des Sachverhalts gerügt wer- den (Art. 320 ZPO). Gerügt werden kann auch die Unangemessenheit (ZK ZPO- FREIBURGHAUS/AFHELDT, 3. Aufl. 2016, Art. 320 N 3 i.V.m. ZK ZPO-REETZ/THEILER, Art. 310 N 36). Bei der Angemessenheitskontrolle hat sich die Rechtsmittelinstanz aber Zurückhaltung aufzuerlegen. Insbesondere setzt die Rechtsmittelinstanz ei- genes Rechtsfolgeermessen nicht ohne weiteres an die Stelle desjenigen der Vor- instanz (Dike ZPO-BLICKENSTORFER, 2. Aufl. 2016, Art. 310 N 10; ZK ZPO- REETZ/THEILER, a.a.O., Art. 310 N 36). Vorliegend musste die Vorinstanz die Vor- aussetzungen zur Entgegennahme der Schutzschrift prüfen, wobei vom Inhalt der Schutzschrift zumindest kursorisch Kenntnis genommen werden musste (ZK ZPO-HUBER, a.a.O. Art. 270 N 15). Die Schutzschrift ist mit knapp sechs Seiten zwar nicht allzu lang (act. 1), umfasste aber nebst der Vollmacht sechs weitere teilweise umfassendere Beilagen (act. 2; act. 3/B-G), insbesondere etwa den Kaufvertrag und das Reglement für die Stockwerkeigentümergemeinschaft (act. 3/B; act. 3/D). Sodann mussten die Rechtsbegehren teilweise von Amtes we- gen korrigiert werden (Ersatz des Gesuchstellers durch Gesuchsgegnerin und umgekehrt), was eine genauere Prüfung der Schutzschrift erforderte. Vor diesem Hintergrund besteht kein Anlass in den im Ermessen der Vorinstanz liegenden Entscheid über die Höhe der Gerichtsgebühr einzugreifen.</w:t>
      </w:r>
    </w:p>
    <w:p>
      <w:r>
        <w:rPr>
          <w:b/>
        </w:rPr>
        <w:t>E. 5.4</w:t>
      </w:r>
    </w:p>
    <w:p>
      <w:r>
        <w:t>Schliesslich beantragt der Beschwerdeführer, dass, falls das von ihm vermu- tete Gesuch eingehe, das Gericht in jenem Verfahren entscheide, wer die Kosten zu tragen habe. Zunächst übersieht der anwaltlich vertretene Beschwerdeführer, dass ein bedingtes Begehren nicht zulässig ist. Sodann fehlt es an einer Begrün- dung für das Rechtsbegehren (vgl. act. 9). Der Beschwerdeführer legt nicht dar, weshalb ihm entgegen der expliziten Bestimmung von § 8 Abs. 2 GebV OG, wo- nach für die Entgegennahme einer Schutzschrift eine Gebühr verlangt wird, keine solche auferlegt werden soll.</w:t>
      </w:r>
    </w:p>
    <w:p>
      <w:r>
        <w:t>- 5 -</w:t>
      </w:r>
    </w:p>
    <w:p>
      <w:r>
        <w:rPr>
          <w:b/>
        </w:rPr>
        <w:t>E. 6</w:t>
      </w:r>
    </w:p>
    <w:p>
      <w:r>
        <w:t>Nach dem Gesagten erweist sich die Beschwerde als unbegründet. Sie ist folglich abzuweisen, soweit darauf einzutreten ist.</w:t>
      </w:r>
    </w:p>
    <w:p>
      <w:r>
        <w:rPr>
          <w:b/>
        </w:rPr>
        <w:t>E. 7</w:t>
      </w:r>
    </w:p>
    <w:p>
      <w:r>
        <w:t>Ausgangsgemäss sind die Kosten dem Beschwerdeführer aufzuerlegen (Art. 106 Abs. 1 ZPO). Die Gebühr vor Obergericht bemisst sich nach Massgabe dessen, was vor der Rechtsmittelinstanz noch im Streit liegt (§ 12 Abs. 2 GebV OG). Der Beschwerdeführer beantragte im Rechtsmittelverfahren die Reduktion der vorinstanzlichen Gerichtsgebühr um Fr. 1'900.–, weshalb die Gerichtsgebühr in Anwendung von §§ 4 Abs. 1, 8 Abs. 1 und 12 Abs. 1 GebV OG auf Fr. 320.– festzusetzen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