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PF240022 vom 9. Juli 2024</w:t>
      </w:r>
    </w:p>
    <w:p>
      <w:r>
        <w:t>ZH Obergericht, 2024-07-09, DE</w:t>
      </w:r>
    </w:p>
    <w:p>
      <w:r>
        <w:rPr>
          <w:b/>
        </w:rPr>
        <w:t xml:space="preserve">Quelle: </w:t>
      </w:r>
      <w:r>
        <w:t>https://mcp.opencaselaw.ch/entscheid/zh_obergericht_PF240022</w:t>
      </w:r>
    </w:p>
    <w:p>
      <w:r>
        <w:t>FR: ZH_OBERGERICHT PF240022 du 9 juillet 2024</w:t>
      </w:r>
    </w:p>
    <w:p>
      <w:r>
        <w:t>IT: ZH_OBERGERICHT PF240022 del 9 luglio 2024</w:t>
      </w:r>
    </w:p>
    <w:p>
      <w:pPr>
        <w:pStyle w:val="Heading2"/>
      </w:pPr>
      <w:r>
        <w:t>Erwägungen</w:t>
      </w:r>
    </w:p>
    <w:p>
      <w:r>
        <w:rPr>
          <w:b/>
        </w:rPr>
        <w:t>E. 1</w:t>
      </w:r>
    </w:p>
    <w:p>
      <w:r>
        <w:t>Mit Eingabe vom 19. April 2024 reichten die Gesuchstellerin 1 und Be- schwerdeführerin 1 (nachfolgend: Beschwerdeführerin 1) sowie der Gesuchstel- ler 2 und Beschwerdeführer 2 (nachfolgend: Beschwerdeführer 2; zusammen: Be- schwerdeführer) eine Eigentumsfreiheitsklage im summarischen Verfahren ein (act. 1). Mit Verfügung vom 6. Mai 2024 trat das Bezirksgericht Winterthur, Einzel- gericht summarisches Verfahren (nachfolgend: Vorinstanz), auf das Gesuch nicht ein (act. 4 = act. 7 = act. 9).</w:t>
      </w:r>
    </w:p>
    <w:p>
      <w:r>
        <w:rPr>
          <w:b/>
        </w:rPr>
        <w:t>E. 1.1</w:t>
      </w:r>
    </w:p>
    <w:p>
      <w:r>
        <w:t>Die Vorinstanz verneinte das Vorliegen klaren Rechts im Sinne von Art. 257 Abs. 1 lit. b ZPO. Sie erwog im Wesentlichen, dass vorab nicht klar sei, dass ein reiner Arbeitsvertrag vorliege, sondern das Vertragsverhältnis den Beschwerde- gegner berechtige, in der Liegenschaft zu wohnen und damit auch mietrechtliche Elemente aufweise. Folglich sei nicht eindeutig auszuschliessen, dass ein ge- mischter Vertrag bzw. ein Innominatkontrakt vorliege. Entsprechend stelle sich die Frage, ob die zwingenden Vorschriften zur Kündigung im Mietrecht Anwendung fänden (act. 7 E. 3.3 ff.).</w:t>
      </w:r>
    </w:p>
    <w:p>
      <w:r>
        <w:rPr>
          <w:b/>
        </w:rPr>
        <w:t>E. 1.2</w:t>
      </w:r>
    </w:p>
    <w:p>
      <w:r>
        <w:t>Die Beschwerdeführer rügen zusammengefasst, dass die Vorinstanz das Ausweisungsgesuch dem Beschwerdegegner vor ihrem Entscheid nicht zur Stel- lungnahme zugestellt habe. Dadurch sei Art. 253 ZPO verletzt worden. Die Schwierigkeit im vorliegenden Fall liege darin, dass zur Anerkennung des klaren Rechts bejaht werden müsse, dass sich der Beschwerdegegner unrechtmässig in</w:t>
      </w:r>
    </w:p>
    <w:p>
      <w:r>
        <w:t>- 4 - der Liegenschaft aufhalte. Die Auslegung eines Vertrags sei damit Gegenstand des Verfahrens. Bedürfe ein Vertrag der Auslegung und müsse das Gericht auf den Grundsatz von Treu und Glauben zurückgreifen und die Interessen der Par- teien berücksichtigen und damit letztlich sein Ermessen ausüben, bestehe für den Rechtsschutz in klaren Fällen kein Raum. Ausgenommen seien aber Fälle mit un- bestrittenem tatsächlichem Konsens. Sowohl der Inhalt des Vertrags als auch die Willenserklärungen seien im Ausweisungsbegehren eindeutig und klar wiederge- geben worden oder hätten nach Eingang einer Stellungnahme eindeutig oder klar werden können. Es sei im Gesuch klar wiedergegeben worden, dass die miet- rechtliche Komponente – wenn denn ein gemischter Vertrag vorliegen würde – eine untergeordnete Rolle spielen würde. Es bestehe kein Verbleiberecht für den Beschwerdegegner in der Liegenschaft, da eine ordentliche Kündigung eines Ar- beitsverhältnisses vorgelegen habe. Dass die mietrechtliche Komponente auch für den Beschwerdegegner selbst eine untergeordnete Rolle gespielt habe, sei auch aus einer E-Mail vom 16. April 2024 ersichtlich, welche Teil des Auswei- sungsgesuchs gewesen sei. Indem die Vorinstanz die Möglichkeit der Stellung- nahme "abgekappt" habe, habe sie damit verunmöglicht, dass den Beschwerde- führern der volle Beweis des Vorliegens des unbestrittenen Sachverhalts und auch der klaren Rechtslage überhaupt gelingen könne (act. 8 Rz. 11 ff.).</w:t>
      </w:r>
    </w:p>
    <w:p>
      <w:r>
        <w:rPr>
          <w:b/>
        </w:rPr>
        <w:t>E. 1.3</w:t>
      </w:r>
    </w:p>
    <w:p>
      <w:r>
        <w:t>Der Beschwerdegegner bringt im Wesentlichen vor, dass er seit beinahe vier Jahren im Hause des Beschwerdeführers 2 wohne. Entsprechend dem letzten Willen von F._____ habe er geschaut, dass der Betrieb weitergehe. Dies habe nicht nur die Pflege zuhause des Beschwerdeführers 2, sondern auch die Pflege der beiden Esel, des Hauses, des grossen Umschwungs sowie der Obstbäume beinhaltet. Es seien betreffend den letzten Willen von F._____ mehrere Punkte verletzt worden. Er habe nie einen Mietvertrag gehabt, weil F._____ nie gewollt habe, dass er ausziehe und das Haus verlasse. Er wäre ab Juli 2024 auf der Strasse ohne Dach und Job. Er könne sich beim besten Willen nicht vorstellen, dass man nach vier Jahren plötzlich in einem Mietverhältnis sei, ohne Vertrag, ohne Unterzeichnung sowie mündliche Abmachung (act. 18).</w:t>
      </w:r>
    </w:p>
    <w:p>
      <w:r>
        <w:t>- 5 - 2. Nach Art. 253 ZPO gibt das Gericht der Gegenpartei Gelegenheit, mündlich oder schriftlich Stellung zu nehmen, sofern ein Gesuch nicht offensichtlich unzu- lässig oder offensichtlich unbegründet erscheint. Von offensichtlicher Unbegrün- detheit ist insbesondere dann auszugehen, wenn ein Tatsachenvortrag von vorn- herein nicht schlüssig ist (ZR 113/2014, Nr. 24 S. 81 f.; DIKE-ZPO-KAUFMANN, 2016, Art. 253 N 7). Fehlende Schlüssigkeit liegt vor, wenn die von der gesuch- stellenden Partei aufgestellten Behauptungen den Schutz des Gesuchs nicht rechtfertigen, selbst wenn alle Behauptungen unbestritten bzw. unwidersprochen geblieben wären (BERTI, Einführung in die Schweizerische Zivilprozessordnung, 2011, Rz. 218; DIKE-ZPO-KAUFMANN, a.a.O., Art. 253 Fn 4).</w:t>
      </w:r>
    </w:p>
    <w:p>
      <w:r>
        <w:rPr>
          <w:b/>
        </w:rPr>
        <w:t>E. 2</w:t>
      </w:r>
    </w:p>
    <w:p>
      <w:r>
        <w:t>Dagegen erhoben die Beschwerdeführer mit Eingabe vom 21. Mai 2024 fristgerecht (vgl. act. 5) Beschwerde mit dem Antrag, die angefochtene Verfügung sei aufzuheben und an die Vorinstanz zurückzuweisen, wobei dem Beschwerde- gegner im Rahmen der Neubeurteilung der Sache Frist zur Stellungnahme auf das Ausweisungsbegehren der Beschwerdeführer vom 19. April 2024 zu gewäh- ren sei (act. 8).</w:t>
      </w:r>
    </w:p>
    <w:p>
      <w:r>
        <w:rPr>
          <w:b/>
        </w:rPr>
        <w:t>E. 3</w:t>
      </w:r>
    </w:p>
    <w:p>
      <w:r>
        <w:t>Mit der Beschwerde können die unrichtige Rechtsanwendung und die offen- sichtlich unrichtige Feststellung des Sachverhaltes geltend gemacht werden (Art. 320 ZPO). Neue Anträge, neue Tatsachenbehauptungen und neue Beweis- mittel sind im Beschwerdeverfahren ausgeschlossen (Art. 326 Abs. 1 ZPO). III. 1.</w:t>
      </w:r>
    </w:p>
    <w:p>
      <w:r>
        <w:rPr>
          <w:b/>
        </w:rPr>
        <w:t>E. 3.1</w:t>
      </w:r>
    </w:p>
    <w:p>
      <w:r>
        <w:t>Die Beschwerdeführer behaupteten in ihrem Gesuch Folgendes: Seit 1. Fe- bruar 2024 befinde sich der Beschwerdegegner ohne Rechtsgrund in der Liegen- schaft. Diese Tatsache werde vom Beschwerdegegner implizit anerkannt, jeden- falls nicht bestritten. Es handle sich um einen Arbeitsvertrag und wenn ein ge- mischter Vertrag angenommen würde, sei die mietrechtliche Komponente unter- geordnet, womit ebenfalls die arbeitsrechtlichen Bestimmungen des Vertrags zur Anwendung kämen. Der Wortlaut des Vertrags, der als "Einzelarbeitsvertrag" defi- niert sei, sei klar und der Parteiwille spreche ebenfalls für einen Arbeitsvertrag. Der Vertrag sei nämlich lediglich wegen der Tätigkeit des Beschwerdegegners als Hauswart geschlossen worden, die Überlassung des Zimmers habe nur der Aus- übung der Hauswarttätigkeit gedient. Auch habe der Beschwerdegegner den Aus- führungen der Berufungsklägerin 1 im Protokoll der Hausübergabe vom 31. Ja- nuar 2024 nicht widersprochen, in welchem Letztere den Inhalt der schriftlichen Kündigung des Arbeitsverhältnisses vom 14. Dezember 2023 mitgeteilt habe. Ebenfalls gehe der Beschwerdegegner selber davon aus, dass ein Arbeitsvertrag vorliege, wie aus seiner E-Mail vom 16. April 2024 ersichtlich sei. Werde ein ge- mischter Vertrag angenommen, dann sei die mietrechtliche Komponente unterge- ordnet (act. 1 Rz. 17 ff. = act. 11/2 Rz. 17 ff.).</w:t>
      </w:r>
    </w:p>
    <w:p>
      <w:r>
        <w:rPr>
          <w:b/>
        </w:rPr>
        <w:t>E. 3.2</w:t>
      </w:r>
    </w:p>
    <w:p>
      <w:r>
        <w:t>Stellt man somit auf die Behauptungen der Beschwerdeführer ab, wurde der Vertrag nur wegen der Tätigkeit des Beschwerdegegners als Hauswart abge-</w:t>
      </w:r>
    </w:p>
    <w:p>
      <w:r>
        <w:t>- 6 - schossen und die Überlassung des Zimmers diente nur der Ausübung der Haus- warttätigkeit. Die Vorinstanz hat zutreffend darauf hingewiesen, dass die Anwen- dung der mietrechtlichen Vorschriften ausgeschlossen sei, wenn die Überlassung des Mietobjekts bloss als untergeordnete Nebenabrede erscheine (act. 7 E. 3.3 S. 5). Wenn die Behauptungen als unbestritten bzw. unwidersprochen angesehen und auf diese abgestellt wird, ist eine Ermittlung, welche Bedeutung den einzel- nen Bestimmungen zukommt, entgegen der Vorinstanz nicht erforderlich. Viel- mehr ergibt sich aus den Behauptungen der Beschwerdeführer, dass den miet- rechtlichen Bestimmungen eine untergeordnete Rolle zukommt und die mietrecht- lichen Vorschriften somit nicht zur Anwendung gelangen. Der Tatsachenvortrag der Beschwerdeführer ist damit schlüssig und das Gesuch erscheint folglich nicht von vornherein offensichtlich unbegründet. Die Vorinstanz hätte damit dem Be- schwerdegegner nach Art. 253 ZPO Gelegenheit zur Stellungnahme geben müs- sen. Die Vorbringen des Beschwerdegegners im Beschwerdeverfahren ändern nichts daran, auch wenn der Umstand, dass er sich nicht auf einen Mietvertrag beruft, als Rechtsauffassung eines Laien für die Beurteilung nicht massgeblich ist.</w:t>
      </w:r>
    </w:p>
    <w:p>
      <w:r>
        <w:rPr>
          <w:b/>
        </w:rPr>
        <w:t>E. 4</w:t>
      </w:r>
    </w:p>
    <w:p>
      <w:r>
        <w:t>Nach dem Gesagten ist die Beschwerde gutzuheissen. Die angefochtene Verfügung ist aufzuheben und die Sache ist antragsgemäss zur Ergänzung des Verfahrens im Sinne der Erwägungen und zur neuen Entscheidung an die Vorinstanz zurückzuweisen.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