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PF230018 vom 5. April 2023</w:t>
      </w:r>
    </w:p>
    <w:p>
      <w:r>
        <w:t>ZH Obergericht, 2023-04-05, DE</w:t>
      </w:r>
    </w:p>
    <w:p>
      <w:r>
        <w:rPr>
          <w:b/>
        </w:rPr>
        <w:t xml:space="preserve">Quelle: </w:t>
      </w:r>
      <w:r>
        <w:t>https://mcp.opencaselaw.ch/entscheid/zh_obergericht_PF230018</w:t>
      </w:r>
    </w:p>
    <w:p>
      <w:r>
        <w:t>FR: ZH_OBERGERICHT PF230018 du 5 avril 2023</w:t>
      </w:r>
    </w:p>
    <w:p>
      <w:r>
        <w:t>IT: ZH_OBERGERICHT PF230018 del 5 aprile 2023</w:t>
      </w:r>
    </w:p>
    <w:p>
      <w:pPr>
        <w:pStyle w:val="Heading2"/>
      </w:pPr>
      <w:r>
        <w:t>Erwägungen</w:t>
      </w:r>
    </w:p>
    <w:p>
      <w:r>
        <w:rPr>
          <w:b/>
        </w:rPr>
        <w:t>E. 1</w:t>
      </w:r>
    </w:p>
    <w:p>
      <w:r>
        <w:t>Das Einzelgericht im summarischen Verfahren des Bezirksgerichtes Dietikon (fortan Vorinstanz) hiess den Antrag der Gesuchstellerin und Beschwer- deführerin (fortan Gesuchstellerin) auf Eintragung eines Bauhandwerkerpfand- rechts für eine Pfandsumme von Fr. 43'706.85 nebst Zins zu 8 % seit 20. Februar 2023 (vgl. act. 7 S. 1-3) mit Verfügung vom 13. März 2023 superprovisorisch gut und wies das Grundbuchamt D._____ im Sinne von Art. 961 ZGB einstweilen an, das beantragte Pfandrecht zulasten des entsprechenden in Stockwerk- und Mitei- gentum aufgeteilten Grundstücks der Gesuchs- und Beschwerdegegner (fortan Gesuchsgegner) vorläufig im Grundbuch einzutragen (act. 6 Dispositiv-Ziff. 1). Sodann wurde der Gesuchstellerin Frist angesetzt zur Leistung des Kostenvor- schusses von Fr. 2'400.– (act. 6 Dispositiv-Ziff. 2). Als Rechtsmittel gegen den Entscheid betreffend Kostenvorschuss wurde die Beschwerde an das Obergericht angegeben (act. 6 Dispositiv-Ziff. 5).</w:t>
      </w:r>
    </w:p>
    <w:p>
      <w:r>
        <w:rPr>
          <w:b/>
        </w:rPr>
        <w:t>E. 2</w:t>
      </w:r>
    </w:p>
    <w:p>
      <w:r>
        <w:t>Mit Eingabe vom 21. März 2023 (Poststempel 23. März 2023) wandte sich die Gesuchstellerin unter Beilage des vorerwähnten Entscheids an die hiesi- ge Instanz und stellte ein Gesuch um unentgeltliche Rechtspflege für das erstin- stanzliche Verfahren (act. 2 inkl. Beilagen act. 4/1-4).</w:t>
      </w:r>
    </w:p>
    <w:p>
      <w:r>
        <w:rPr>
          <w:b/>
        </w:rPr>
        <w:t>E. 3</w:t>
      </w:r>
    </w:p>
    <w:p>
      <w:r>
        <w:t>Vom Beizug der vollständigen vorinstanzlichen Akten wurde abgese- hen (vgl. nachstehend Ziff. 4). Den Gesuchsgegnern kommt im Verfahren betref- fend unentgeltliche Rechtspflege keine Parteistellung zu (vgl. BGer 5A_381/2013 vom 19. August 2013, E. 3.2 m.w.H.; OGerZH RB200017 vom 29. September 2020, E. I.3.3), weshalb von ihnen keine Beschwerdeantwort einzuholen ist (Art. 322 Abs. 1 ZPO). 4.1 Das Gesuch um Gewährung der unentgeltlichen Rechtspflege ist je- weils bei demjenigen Gericht zu stellen, bei welchem das Hauptverfahren aktuell hängig ist. Wird die unentgeltliche Rechtspflege ganz oder teilweise abgelehnt (oder entzogen), so kann dieser Entscheid mit Beschwerde angefochten werden (Art. 121 ZPO).</w:t>
      </w:r>
    </w:p>
    <w:p>
      <w:r>
        <w:t>- 3 - 4.2 Die Verfügung der Vorinstanz vom 13. März 2023 enthält keinen Ent- scheid über die unentgeltliche Rechtspflege. Der Gesuchstellerin wurde lediglich Frist angesetzt zur Zahlung des Kostenvorschusses (vgl. vorstehend Ziff. 1). Wohl geleitet durch die Rechtsmittelbelehrung betreffend den Kostenvorschuss stellte sie ihr Gesuch um unentgeltliche Rechtspflege für das erstinstanzliche Verfahren bei der hiefür nicht zuständigen Rechtsmittelinstanz. Für die Prüfung eines sol- chen Gesuchs ist die Vorinstanz zuständig, bei welcher das Hauptverfahren pen- dent ist. Auf den entsprechenden Antrag der Gesuchstellerin ist daher nicht einzu- treten.</w:t>
      </w:r>
    </w:p>
    <w:p>
      <w:r>
        <w:rPr>
          <w:b/>
        </w:rPr>
        <w:t>E. 5</w:t>
      </w:r>
    </w:p>
    <w:p>
      <w:r>
        <w:t>Der Vollständigkeit halber ist folgendes zu erwähnen: Nach Art. 117 ZPO hat eine Partei Anspruch auf unentgeltliche Rechtspflege, wenn die erforder- lichen Mittel zur Begleichung der Prozesskosten neben dem notwendigen Le- bensunterhalt für sich und die Familie nicht aufgebracht werden können (lit. a) und ihr Rechtsbegehren nicht aussichtslos erscheint (lit. b). Diese Regelung ist auf natürliche Personen zugeschnitten. Juristische Personen verfügen deshalb über keinen bundesrechtlichen Anspruch auf unentgeltliche Rechtspflege. Ge- mäss bundesgerichtlicher Rechtsprechung haben juristische Personen aus- nahmsweise dann Anspruch auf unentgeltliche Rechtspflege, wenn ihr einziges Aktivum im Streit liegt und neben der juristischen Person auch die wirtschaftlich Beteiligten mittellos sind. Dies ist mit dem entsprechenden Gesuch aufzuzeigen und zu belegen (vgl. BGer 4A_622/2020 vom 5. Februar 2021, E. 2.1 m.w.H.). Die Vorinstanz wird der Gesuchstellerin Gelegenheit einzuräumen haben zur Verbes- serung ihres Gesuchs unter Darlegung der entsprechenden Voraussetzungen bzw. nötigen Ergänzungen.</w:t>
      </w:r>
    </w:p>
    <w:p>
      <w:r>
        <w:rPr>
          <w:b/>
        </w:rPr>
        <w:t>E. 6</w:t>
      </w:r>
    </w:p>
    <w:p>
      <w:r>
        <w:t>Umständehalber werden keine Kosten erhoben. Eine Parteientschädi- gung ist den Gesuchsgegnern mangels erheblicher Umtriebe nicht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