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PF210050 vom 11. Januar 2022</w:t>
      </w:r>
    </w:p>
    <w:p>
      <w:r>
        <w:t>ZH Obergericht, 2022-01-11, DE</w:t>
      </w:r>
    </w:p>
    <w:p>
      <w:r>
        <w:rPr>
          <w:b/>
        </w:rPr>
        <w:t xml:space="preserve">Quelle: </w:t>
      </w:r>
      <w:r>
        <w:t>https://mcp.opencaselaw.ch/entscheid/zh_obergericht_PF210050</w:t>
      </w:r>
    </w:p>
    <w:p>
      <w:r>
        <w:t>FR: ZH_OBERGERICHT PF210050 du 11 janvier 2022</w:t>
      </w:r>
    </w:p>
    <w:p>
      <w:r>
        <w:t>IT: ZH_OBERGERICHT PF210050 del 11 gennaio 2022</w:t>
      </w:r>
    </w:p>
    <w:p>
      <w:pPr>
        <w:pStyle w:val="Heading2"/>
      </w:pPr>
      <w:r>
        <w:t>Erwägungen</w:t>
      </w:r>
    </w:p>
    <w:p>
      <w:r>
        <w:rPr>
          <w:b/>
        </w:rPr>
        <w:t>E. 10</w:t>
      </w:r>
    </w:p>
    <w:p>
      <w:r>
        <w:t>Abteilung bzw. eine allfällige Rechtsmittelinstanz rechtskräftig über die Prose- quierung entschieden hat. Ein solcher Entscheid liegt zur Zeit (noch) nicht vor: Zu- letzt hat das Obergericht des Kantons Zürich mit Beschluss vom 20. September 2021 die Angelegenheit zur Neubeurteilung an das Einzelgericht, 10. Abteilung, zurückgewiesen (Verfahren NP210013 des Obergerichts). Am 10. Januar 2021 soll dort die Hauptverhandlung stattfinden (Verfahren FV210210 des Einzelge- richts 10. Abteilung). Es liegt nun am Einzelgericht, 10. Abteilung, im Verfahren FV210210 (erneut) über die definitive Prosequierung zu befinden. Solange dies nicht geschehen ist, muss das Einzelgericht Audienz sein Verfahren ES210013 getreu der obergerichtlichen Anordnung vom 10. Februar 2021 weiterhin sistiert lassen. Entgegen der Beschwerdeführerin ist es nicht möglich, zuerst über die provisorische Eintragung (ES210013) zu befinden und während dieser Zeit das Verfahren auf definitive Eintragung (FV210210) sistiert zu halten (act. 23 S. 3). Zusammenfassend kann dem Einzelgericht Audienz nicht vorgeworfen werden, es halte in rechtsverzögernder Weise an seiner Sistierung des Verfahrens ES210013 fest.</w:t>
      </w:r>
    </w:p>
    <w:p>
      <w:r>
        <w:t>- 8 - 3. Nach dem Gesagten ist die Beschwerde abzuweisen, soweit darauf einzutreten ist. 4. 4.1. Die Beschwerdeführerin unterliegt im vorliegenden Rechtsmittelverfahren vollumfänglich. Ausgangsgemäss sind ihr deshalb die Prozesskosten aufzuerle- gen (Art. 106 Abs. 1 Satz 1 ZPO). Die Höhe der Gerichtsgebühr bestimmt sich in einer vermögensrechtlichen Angelegenheit nach dem Streitwert. Der Streitwert beläuft sich hier auf Fr. 27'954.15. Folglich beträgt die ordentliche Gerichtsgebühr Fr. 3'786.35 (Fr. 3'150.– + Fr. 636.35). Die Beschwerde richtet sich gegen die Sis- tierung eines summarischen Verfahrens, weshalb die Gerichtsgebühr angemes- sen zu reduzieren ist. In Anwendung von § 12 Abs. 1 in Verbindung mit § 4 Abs. 2 und § 8 Abs. 1 GebV OG ist die Gerichtsgebühr auf Fr. 500.– festzusetzen (Fr. 3'786.35 x 1/4 x 1/2). 4.2. Als unterliegende Partei hat die Beschwerdeführerin keinen Anspruch auf eine Umtriebsentschädigung. Der Beschwerdegegnerin ist durch das vorliegende Verfahren kein entschädigungspflichtiger Aufwand entstanden. Entsprechend ist auch ihr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