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PF210020 vom 25. August 2021</w:t>
      </w:r>
    </w:p>
    <w:p>
      <w:r>
        <w:t>ZH Obergericht, 2021-08-25, DE</w:t>
      </w:r>
    </w:p>
    <w:p>
      <w:r>
        <w:rPr>
          <w:b/>
        </w:rPr>
        <w:t xml:space="preserve">Quelle: </w:t>
      </w:r>
      <w:r>
        <w:t>https://mcp.opencaselaw.ch/entscheid/zh_obergericht_PF210020</w:t>
      </w:r>
    </w:p>
    <w:p>
      <w:r>
        <w:t>FR: ZH_OBERGERICHT PF210020 du 25 août 2021</w:t>
      </w:r>
    </w:p>
    <w:p>
      <w:r>
        <w:t>IT: ZH_OBERGERICHT PF210020 del 25 agosto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A._____ (Gesuchsteller und Beschwerdeführer, fortan Beschwerdeführer) ist Mieter einer von der B._____ AG (Gesuchs- und Beschwerdegegnerin, fortan Be- schwerdegegnerin) an ihn vermieteten Wohnung an der C._____-strasse … in D._____. Wegen behaupteter unzumutbarer Ruhestörungen durch andere Mieter der Liegenschaft machte der Beschwerdeführer bei der Schlichtungsbehörde des Bezirks Horgen (fortan Schlichtungsbehörde) ein Verfahren betreffend Miet- zinshinterlegung anhängig (act. 3/1 und act. 3/4). Am 10. Februar 2021 fand eine Schlichtungsverhandlung statt (act. 3/5). Mit Urteilsvorschlag vom selben Tag verpflichtete die Schlichtungsbehörde die Beschwerdegegnerin unter anderem dazu, bis spätestens 30. April 2021 Massnahmen zur "Drittschallreduktion" in Be- zug auf den Mangel "übermässige Lärmimmissionen durch die Mietpartei Allgaier" zu treffen (act. 2/1 S. 2).</w:t>
      </w:r>
    </w:p>
    <w:p>
      <w:r>
        <w:rPr>
          <w:b/>
        </w:rPr>
        <w:t>E. 1.2</w:t>
      </w:r>
    </w:p>
    <w:p>
      <w:r>
        <w:t>Mit Eingabe vom 3. Mai 2021 gelangte der Beschwerdeführer an das Be- zirksgericht Horgen, Einzelgericht im summarischen Verfahren (fortan Vor- instanz), und verlangte die Vollstreckung des in Rechtskraft erwachsenen Urteils- vorschlages der Schlichtungsbehörde (act. 1 S. 1 f.). Die Vorinstanz verzichtete auf weitere Verfahrensschritte und wies das Vollstreckungsgesuch des Be- schwerdeführers mit Urteil vom 14. Mai 2021 ab. Die Entscheidgebühr setzte die Vorinstanz auf Fr. 300.00 fest und auferlegte die Kosten dem Beschwerdeführer. Parteientschädigungen wurden keine zugesprochen (act. 4 = act. 10 S. 8 f.). Am 25. Mai 2021 gelangte der Beschwerdeführer mit einem "Gesuch um Kostener- lass" an die Vorinstanz (act. 7 = act. 16/2).</w:t>
      </w:r>
    </w:p>
    <w:p>
      <w:r>
        <w:rPr>
          <w:b/>
        </w:rPr>
        <w:t>E. 1.3</w:t>
      </w:r>
    </w:p>
    <w:p>
      <w:r>
        <w:t>Am 27. Mai 2021 (Datum Poststempel) erhob der Beschwerdeführer gegen das vorinstanzliche Urteil bei der Kammer rechtzeitig Beschwerde mit dem fol- genden Antrag (act. 11 S. 2; act. 6/2): "Die dem Beschwerdeführer mit Urteil des Einzelgerichts vom 14. Mai 2021 (EZ210003-F/UB/kpk/PK7ta) auferlegte Entscheidgebühr in der Höhe von Fr. 300.– sei ihm zu erlassen."</w:t>
      </w:r>
    </w:p>
    <w:p>
      <w:r>
        <w:t>- 3 -</w:t>
      </w:r>
    </w:p>
    <w:p>
      <w:r>
        <w:rPr>
          <w:b/>
        </w:rPr>
        <w:t>E. 1.4</w:t>
      </w:r>
    </w:p>
    <w:p>
      <w:r>
        <w:t>Die vorinstanzlichen Akten wurden von Amtes wegen beigezogen (act. 1-8). Am 11. Juni 2021 reichte die Vorinstanz die von ihr erlassene Verfügung vom</w:t>
      </w:r>
    </w:p>
    <w:p>
      <w:r>
        <w:rPr>
          <w:b/>
        </w:rPr>
        <w:t>E. 4</w:t>
      </w:r>
    </w:p>
    <w:p>
      <w:r>
        <w:t>Umständehalber werden für das Beschwerdeverfahren keine Kosten erhoben. Ei- ne Parteientschädigung wurde vom Beschwerdeführer nicht verlangt und ist ihm nicht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