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PF210005 vom 23. März 2021</w:t>
      </w:r>
    </w:p>
    <w:p>
      <w:r>
        <w:t>ZH Obergericht, 2021-03-23, DE</w:t>
      </w:r>
    </w:p>
    <w:p>
      <w:r>
        <w:rPr>
          <w:b/>
        </w:rPr>
        <w:t xml:space="preserve">Quelle: </w:t>
      </w:r>
      <w:r>
        <w:t>https://mcp.opencaselaw.ch/entscheid/zh_obergericht_PF210005</w:t>
      </w:r>
    </w:p>
    <w:p>
      <w:r>
        <w:t>FR: ZH_OBERGERICHT PF210005 du 23 mars 2021</w:t>
      </w:r>
    </w:p>
    <w:p>
      <w:r>
        <w:t>IT: ZH_OBERGERICHT PF210005 del 23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22. Februar 2021 (Datum Poststempel) ersuchte die B._____ AG (Gesuchstellerin und Beschwerdegegnerin, fortan Beschwerdegegnerin) um (superprovisorische) vorläufige Eintragung eines Bauhandwerkerpfandrechts zu- lasten des im Eigentum von A._____ (Gesuchsgegnerin und Beschwerdeführerin, fortan Beschwerdeführerin) stehenden Grundstücks an der C._____-Strasse … in D._____ (GBBl 1, EGRID 2, Kat. Nr. 3, Plan 4), für eine Forderung von Fr. 330'000.00 zuzüglich 5% Zins auf Fr. 50'000.00 seit 26. Juli 2019 und auf Fr. 280'000.00 seit 27. Oktober 2020 (act. 7/1 S. 1). Mit Verfügung vom 23. Februar 2021 wies das Bezirksgericht Meilen (fortan Vorinstanz) das Grund- buchamt E._____ vorsorglich an, das verlangte Pfandrecht im Sinne von Art. 961 ZGB vorläufig im Grundbuch einzutragen (Dispositiv-Ziff. 1). Der Beschwerde- gegnerin wurde überdies Frist zur Leistung eines Kostenvorschusses von Fr. 13'000.00 angesetzt, mit der Androhung, dass bei Nichtbezahlung auf ihr Ge- such nicht eingetreten und das Grundbuchamt E._____ angewiesen werde, das vorläufig eingetragene Pfandrecht zu löschen (Dispositiv-Ziff. 2). Als Rechtsmittel gab die Vorinstanz die Beschwerde an (Dispositiv-Ziff. 4; act. 7/5 = act. 7/9 = act. 3 S. 3 f.).</w:t>
      </w:r>
    </w:p>
    <w:p>
      <w:r>
        <w:rPr>
          <w:b/>
        </w:rPr>
        <w:t>E. 2.1</w:t>
      </w:r>
    </w:p>
    <w:p>
      <w:r>
        <w:t>Mit Eingabe vom 8. März 2021 (Datum Poststempel) erhob die Beschwerde- führerin rechtzeitig Beschwerde gegen die vorinstanzliche Verfügung vom 23. Februar 2021; sie verlangt deren Aufhebung sowie die Löschung der vorläufi- gen Eintragung des Bauhandwerkerpfandrechts aus dem Grundbuch, unter Ent- schädigungs- und Kostenfolgen zulasten der Beschwerdegegnerin (act. 2 S. 2; act. 7/7/3).</w:t>
      </w:r>
    </w:p>
    <w:p>
      <w:r>
        <w:rPr>
          <w:b/>
        </w:rPr>
        <w:t>E. 2.2</w:t>
      </w:r>
    </w:p>
    <w:p>
      <w:r>
        <w:t>Die vorinstanzlichen Akten wurden beigezogen (act. 7/1-13). Das Verfahren erweist sich sogleich als spruchreif, auf die Einholung einer Beschwerdeantwort der Beschwerdegegnerin kann daher in Anwendung von Art. 322 Abs. 1 ZPO ver-</w:t>
      </w:r>
    </w:p>
    <w:p>
      <w:r>
        <w:t>- 3 - zichtet werden. Ihr ist lediglich mit dem vorliegenden Entscheid ein Doppel der Beschwerdeschrift der Beschwerdeführerin vom 8. März 2021 (act. 2) zuzustellen.</w:t>
      </w:r>
    </w:p>
    <w:p>
      <w:r>
        <w:rPr>
          <w:b/>
        </w:rPr>
        <w:t>E. 3.1</w:t>
      </w:r>
    </w:p>
    <w:p>
      <w:r>
        <w:t>Gemäss Art. 837 Abs. 1 Ziff. 3 ZGB hat der Handwerker oder Unternehmer Anspruch auf Errichtung eines Grundpfandrechts für seine Forderung, wenn er auf einem Grundstück Material und/oder Arbeit geliefert hat. Die Eintragung hat spätestens vier Monate nach der Vollendung der Arbeit zu erfolgen (Art. 839 Abs. 2 ZGB). Es handelt sich um eine Verwirkungsfrist, für deren Wahrung die vorläufige Eintragung in Gestalt einer Vormerkung ausreicht (Art. 961 Abs. 1 Ziff. 1 ZGB i.V.m. Art. 22 Abs. 4 GBV). Die vorläufige Eintragung bewirkt, dass das durch die spätere definitive Eintragung geschaffene Pfandrecht in seinen Wir- kungen auf den Tag der vorläufigen Eintragung zurückbezogen wird (Art. 961 Abs. 2 i.V.m. Art. 972 ZGB). Bei der vorläufigen Eintragung des Pfandrechts im Grundbuch handelt es sich um eine vorsorgliche Massnahme, die angeordnet wird, bevor im ordentlichen Zivilprozess über die definitive Eintragung entschie- den wird (vgl. Art. 261 ff. ZPO, insbes. Art. 263 ZPO). Bei besonderer Dringlich- keit kann das Gericht die vorsorgliche Massnahme sofort und ohne Anhörung der Gegenpartei als superprovisorische Massnahme anordnen (Art. 265 Abs. 1 ZPO; vgl. auch BGE 137 III 563 E. 3.3). Das Gericht hat die Parteien diesfalls sogleich zu einer Verhandlung vorzuladen oder der Gegenpartei Frist zur schriftlichen Stel- lungnahme anzusetzen. Danach entscheidet es unverzüglich, ob die superprovi- sorische Massnahme aufgehoben oder als vorsorgliche Massnahme bestätigt wird (Art. 265 Abs. 2 ZPO).</w:t>
      </w:r>
    </w:p>
    <w:p>
      <w:r>
        <w:rPr>
          <w:b/>
        </w:rPr>
        <w:t>E. 3.2</w:t>
      </w:r>
    </w:p>
    <w:p>
      <w:r>
        <w:t>Im vorliegenden Fall wies die Vorinstanz das Grundbuchamt E._____ in der Verfügung vom 23. Februar 2021 im Sinne eines Superprovisoriums zur vorläufi- gen Eintragung des verlangten Pfandrechts im Grundbuch an. Dies ergibt sich insbesondere klar aus den Erwägungen der Vorinstanz, in denen sie darauf hin- wies, dass der Beschwerdeführerin (nach Eingang des Kostenvorschusses) noch Frist zur Stellungnahme zum Gesuch angesetzt werde (act. 3 S. 3). Es gibt kein separates Verfahren für superprovisorische Massnahmen; diese sind Teil eines Verfahrens betreffend vorsorgliche Massnahmen. Auf sie folgt zwin-</w:t>
      </w:r>
    </w:p>
    <w:p>
      <w:r>
        <w:t>- 4 - gend der Entscheid nach Anhörung der Gegenpartei. Erst der nach der Anhörung der Gegenseite zu fällende Massnahmeentscheid ist anfechtbar. Gegen Ent- scheide über superprovisorische Massnahmen sieht die ZPO kein Rechtsmittel vor (vgl. BGE 137 III 417 E. 1.3; OGer ZH RB140036 vom 7. Oktober 2014, E. 2.3.). Die Vorinstanz hat in ihrer Rechtsmittelbelehrung (act. 3, S. 4 Dispositiv- Ziff. 4) die Beschwerde angegeben, welche jedoch ausschliesslich betreffend den Entscheid über den Kostenvorschuss – der die Beschwerdeführerin nicht be- schwert – zur Verfügung stand.</w:t>
      </w:r>
    </w:p>
    <w:p>
      <w:r>
        <w:rPr>
          <w:b/>
        </w:rPr>
        <w:t>E. 3.3</w:t>
      </w:r>
    </w:p>
    <w:p>
      <w:r>
        <w:t>Nach dem Gesagten ist auf die Beschwerde der Beschwerdeführerin nicht einzutreten. Ihre Einwendungen gegen die Eintragung des Bauhandwerkerpfand- rechts müsste sie bei der Vorinstanz vorbringen. Die Frist zur schriftlichen Stel- lungnahme zur vorläufigen Eintragung wurde – nach Eingang des Kostenvor- schusses – von der Vorinstanz bereits mit Verfügung vom 26. Februar 2021 an- gesetzt (vgl. act. 7/11-13, act. 7/12 = act. 6). Diese wurde von der Beschwerde- führerin, die im vorinstanzlichen Verfahren nicht anwaltlich vertreten war, nicht abgeholt (act. 7/13).</w:t>
      </w:r>
    </w:p>
    <w:p>
      <w:r>
        <w:rPr>
          <w:b/>
        </w:rPr>
        <w:t>E. 4.1</w:t>
      </w:r>
    </w:p>
    <w:p>
      <w:r>
        <w:t>Ausgangsgemäss wird die Beschwerdeführerin für das Beschwerdeverfah- ren kostenpflichtig (Art. 106 Abs. 1 ZPO). Die anwaltlich vertretene Beschwerde- führerin kann sich insbesondere nicht auf die falsche Rechtsmittelbelehrung der Vorinstanz berufen (BGer 4A_507/2011 vom 1. November 2011 E. 2.2). Grundla- ge der Gebührenfestsetzung bilden der Streitwert bzw. das tatsächliche Streitinte- resse, der Zeitaufwand des Gerichts und die Schwierigkeit des Falls (§ 2 Abs. 1 GebV OG). Unter Berücksichtigung der § 12 Abs. 1 und 2 GebV OG i.V.m. § 4 Abs. 1-2, § 8 Abs. 1 und § 10 GebV OG ist die Gerichtsgebühr auf Fr. 600.00 festzusetzen.</w:t>
      </w:r>
    </w:p>
    <w:p>
      <w:r>
        <w:rPr>
          <w:b/>
        </w:rPr>
        <w:t>E. 4.2</w:t>
      </w:r>
    </w:p>
    <w:p>
      <w:r>
        <w:t>Parteientschädigungen sind nicht zuzusprechen: Der Beschwerdeführerin nicht, weil sie unterliegt, der Beschwerdegegnerin nicht, weil ihr keine Umtriebe entstanden sind, die zu entschädigen wären.</w:t>
      </w:r>
    </w:p>
    <w:p>
      <w:r>
        <w:t>- 5 -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