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PF200097 vom 4. Januar 2021</w:t>
      </w:r>
    </w:p>
    <w:p>
      <w:r>
        <w:t>ZH Obergericht, 2021-01-04, DE</w:t>
      </w:r>
    </w:p>
    <w:p>
      <w:r>
        <w:rPr>
          <w:b/>
        </w:rPr>
        <w:t xml:space="preserve">Quelle: </w:t>
      </w:r>
      <w:r>
        <w:t>https://mcp.opencaselaw.ch/entscheid/zh_obergericht_PF200097</w:t>
      </w:r>
    </w:p>
    <w:p>
      <w:r>
        <w:t>FR: ZH_OBERGERICHT PF200097 du 4 janvier 2021</w:t>
      </w:r>
    </w:p>
    <w:p>
      <w:r>
        <w:t>IT: ZH_OBERGERICHT PF200097 del 4 gennaio 2021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Im Ergebnis erweist sich die Beschwerde der Beschwerdeführerin als unbegründet und ist abzuweisen, soweit darauf einzutreten ist.</w:t>
      </w:r>
    </w:p>
    <w:p>
      <w:r>
        <w:t>- 5 -</w:t>
      </w:r>
    </w:p>
    <w:p>
      <w:r>
        <w:rPr>
          <w:b/>
        </w:rPr>
        <w:t>E. 6</w:t>
      </w:r>
    </w:p>
    <w:p>
      <w:r>
        <w:t>In zweiter Instanz bemisst sich die Gebühr nach Massgabe dessen, was vor der Rechtsmittelinstanz noch im Streit liegt (§ 12 Abs. 2 GebV OG). Die Beschwerdeführerin beanstandet die gesamten ihr auferlegten Kosten. Das ergibt einen Streitwert von Fr. 250.–. In Anwendung von § 12 Abs. 1 und 2 i.V.m. § 2, § 4 Abs. 1 und 2 sowie § 8 Abs. 3 GebV OG ist die Entscheidgebühr auf ein Mi- nimum von Fr. 100.– festzusetzen. Sie ist ausgangsgemäss der Beschwerdefüh- rerin aufzuerlegen (vgl. Art. 106 Abs. 1 ZPO). Der unterliegenden Beschwerdefüh- rerin ist keine Parteientschädigung zuzusprechen. Es wird erkannt: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