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PF200089 vom 27. November 2020</w:t>
      </w:r>
    </w:p>
    <w:p>
      <w:r>
        <w:t>ZH Obergericht, 2020-11-27, DE</w:t>
      </w:r>
    </w:p>
    <w:p>
      <w:r>
        <w:rPr>
          <w:b/>
        </w:rPr>
        <w:t xml:space="preserve">Quelle: </w:t>
      </w:r>
      <w:r>
        <w:t>https://mcp.opencaselaw.ch/entscheid/zh_obergericht_PF200089</w:t>
      </w:r>
    </w:p>
    <w:p>
      <w:r>
        <w:t>FR: ZH_OBERGERICHT PF200089 du 27 novembre 2020</w:t>
      </w:r>
    </w:p>
    <w:p>
      <w:r>
        <w:t>IT: ZH_OBERGERICHT PF200089 del 27 novembre 2020</w:t>
      </w:r>
    </w:p>
    <w:p>
      <w:pPr>
        <w:pStyle w:val="Heading2"/>
      </w:pPr>
      <w:r>
        <w:t>Erwägungen</w:t>
      </w:r>
    </w:p>
    <w:p>
      <w:r>
        <w:rPr>
          <w:b/>
        </w:rPr>
        <w:t>E. 1</w:t>
      </w:r>
    </w:p>
    <w:p>
      <w:r>
        <w:t>Vor dem Einzelgericht Audienz des Bezirksgerichtes Zürich ist ein Verfahren in Sachen B._____ GmbH (Gesuchstellerin und Beschwerdegegnerin) ge- gen C._____, Verein, betreffend Bauhandwerkerpfandrecht hängig. Mit Ver- fügung vom 4. November 2020 wies die Vorinstanz das Grundbuchamt D._____ im Sinne von Art. 961 ZGB einstweilen an, zugunsten der Gesuch- stellerin auf zwei Grundstücken ein Pfandrecht vorläufig im Grundbuch ein- zutragen, nämlich zulasten der Grundstücke des Gesuchsgegners auf den Liegenschaften in D._____ E._____-strasse Nr. 1 (Pfandsumme Fr. 3'256.80 nebst Zins zu 5% seit 6. Oktober 2020) und E._____-strasse Nr.2/3 (Pfand- summe Fr. 3'823.20 nebst Zins zu 5% seit 6. Oktober 2020). Überdies setzte die Vorinstanz der Gesuchstellerin eine Frist von 10 Tagen an, um für die Gerichtskosten einen Kostenvorschuss von Fr. 900.– zu leisten (act. 3). Mit Eingabe vom 12. November 2020 erhob F._____ namens des Vereins A._____ Verein (Beschwerdeführer) Beschwerde und machte sinngemäss geltend, die unberechtigten Einträge der Bauhandwerkerpfandrechte seien sofort zu löschen. A._____ Verein sei seit mehreren Jahren Mieter der Lie- genschaften E._____-strasse Nr. 1 und 2 und habe die Gesuchstellerin mit Arbeiten beauftragt. Der Verein C._____ habe mit der Gesuchstellerin kei- nen Vertrag abgeschlossen (act. 2). Mit Eingabe vom 17. November 2020 liess der Beschwerdeführer durch seinen Rechtsvertreter die Beschwerde zurückziehen und beantragte, auf die Erhebung von Kosten sei zu verzich- ten (act. 6).</w:t>
      </w:r>
    </w:p>
    <w:p>
      <w:r>
        <w:rPr>
          <w:b/>
        </w:rPr>
        <w:t>E. 2</w:t>
      </w:r>
    </w:p>
    <w:p>
      <w:r>
        <w:t>Das Verfahren ist demnach als durch Rückzug erledigt abzuschreiben. Um- ständehalber ist auf die Erhebung von Kosten gegenüber dem Beschwerde- führer zu verzichten. Parteientschädigungen sind keine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