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PF200078 vom 20. Oktober 2020</w:t>
      </w:r>
    </w:p>
    <w:p>
      <w:r>
        <w:t>ZH Obergericht, 2020-10-20, DE</w:t>
      </w:r>
    </w:p>
    <w:p>
      <w:r>
        <w:rPr>
          <w:b/>
        </w:rPr>
        <w:t xml:space="preserve">Quelle: </w:t>
      </w:r>
      <w:r>
        <w:t>https://mcp.opencaselaw.ch/entscheid/zh_obergericht_PF200078</w:t>
      </w:r>
    </w:p>
    <w:p>
      <w:r>
        <w:t>FR: ZH_OBERGERICHT PF200078 du 20 octobre 2020</w:t>
      </w:r>
    </w:p>
    <w:p>
      <w:r>
        <w:t>IT: ZH_OBERGERICHT PF200078 del 20 ottobre 2020</w:t>
      </w:r>
    </w:p>
    <w:p>
      <w:pPr>
        <w:pStyle w:val="Heading2"/>
      </w:pPr>
      <w:r>
        <w:t>Erwägungen</w:t>
      </w:r>
    </w:p>
    <w:p>
      <w:r>
        <w:rPr>
          <w:b/>
        </w:rPr>
        <w:t>E. 1</w:t>
      </w:r>
    </w:p>
    <w:p>
      <w:r>
        <w:t>Mit Urteil vom 25. Februar 2020 (Geschäfts-Nr. ES190059, act. 16/6/16) des Einzelgerichtes Audienz des Bezirksgerichtes Zürich (nachfolgend: Vorinstanz) wurde das zuständige Grundbuchamt angewiesen, zu Lasten des Stockwerkei- gentumsanteils der dortigen Gesuchsgegnerin und heutigen Beschwerdeführerin (fortan: Beschwerdeführerin) ein gesetzliches Pfandrecht im Sinne von Art. 712i ZGB vorläufig einzutragen. Ihre dagegen am 29. April 2020 erhobene Berufung wies die Kammer mit Urteil vom 24. August 2020 (Geschäfts-Nr. LF200030, act. 16/6/42) ab, soweit auf sie eingetreten wurde. Zwischenzeitlich war die Pro- sequierungsfrist der Beschwerdegegnerin von der Vorinstanz mit Verfügung vom 21. Juli 2020 (act. 16/6/30) erstreckt worden. Auf die dagegen geführte Be- schwerde trat die Kammer mit Beschluss vom 25. September 2020 (Geschäfts- Nr. PF200073, act. 16/7) nicht ein.</w:t>
      </w:r>
    </w:p>
    <w:p>
      <w:r>
        <w:rPr>
          <w:b/>
        </w:rPr>
        <w:t>E. 2</w:t>
      </w:r>
    </w:p>
    <w:p>
      <w:r>
        <w:t>Das Grundbuchamt ist aufzufordern, die vorläufige Pfändung im Bezug auf ES190059 zu löschen.</w:t>
      </w:r>
    </w:p>
    <w:p>
      <w:r>
        <w:rPr>
          <w:b/>
        </w:rPr>
        <w:t>E. 3</w:t>
      </w:r>
    </w:p>
    <w:p>
      <w:r>
        <w:t>Die vorläufig Pfändung ist vorläufig einzustellen bzw löschen.</w:t>
      </w:r>
    </w:p>
    <w:p>
      <w:r>
        <w:rPr>
          <w:b/>
        </w:rPr>
        <w:t>E. 4</w:t>
      </w:r>
    </w:p>
    <w:p>
      <w:r>
        <w:t>Alle Korrespondenz an der Stockwerkeigentümergemeinschaft im Bezug auf diese vorläufige Pfändung ist an den Verwalter der Stockwerkeigentümergemeinschaft C._____ zu adressieren und nicht an seinen Strafverteidiger RA X._____.</w:t>
      </w:r>
    </w:p>
    <w:p>
      <w:r>
        <w:rPr>
          <w:b/>
        </w:rPr>
        <w:t>E. 5</w:t>
      </w:r>
    </w:p>
    <w:p>
      <w:r>
        <w:t>Die vorläufig Pfändung ist vorläufig einzustellen bzw. löschen.</w:t>
      </w:r>
    </w:p>
    <w:p>
      <w:r>
        <w:rPr>
          <w:b/>
        </w:rPr>
        <w:t>E. 5.1</w:t>
      </w:r>
    </w:p>
    <w:p>
      <w:r>
        <w:t>Zu den prozessualen Beanstandungen ist anzumerken, dass gemäss Art. 253 ZPO eine Stellungnahme der Gegenseite bei offensichtlich unzulässigen oder offensichtlich unbegründeten Gesuchen nicht einzuholen ist. Die Vorinstanz war demnach berechtigt, ohne Stellungnahme zum Entscheid zu schreiten.</w:t>
      </w:r>
    </w:p>
    <w:p>
      <w:r>
        <w:rPr>
          <w:b/>
        </w:rPr>
        <w:t>E. 5.2</w:t>
      </w:r>
    </w:p>
    <w:p>
      <w:r>
        <w:t>Unbedenklich ist ebenso, dass die Beschwerdegegnerin durch Rechtsanwalt lic. iur. X._____ im vorinstanzlichen Verfahren vertreten worden ist. Die Be- schwerdeführerin geht selber davon aus, dass C._____ ermächtigt war, die Stockwerkeigentümergemeinschaft in diesem Verfahren zu vertreten (vgl. Rechtsbegehren 4 und Beschwerdeantrag 6). Gemäss den gesetzlichen Vorga- ben war er berechtigt und befähigt, bei Bedarf einen Anwalt im Namen der Stock- werkeigentümergemeinschaft beizuziehen, um das Verfahren zu führen (vgl. ZK ZGB-WERMELINGER, Zürich 2010, Art. 712t N 46). Bezüglich der Vertretungsmacht des Verwalters C._____ und des von ihm bevollmächtigten Rechtsvertreters kann im Übrigen auf die nach wie vor zutreffenden Erwägungen im Urteil der Kammer vom 24. August 2020 verwiesen werden (act. 6/42 E. 2.1.2 und 2.1.3). Die Be- schwerdeführerin vermag im Weitern nicht dazulegen, weshalb die wiederholten Gesuche um Erstreckung der Prosequierungsfrist rechtsmissbräuchlich sein sol- len, zumal im Zeitpunkt des zweiten Gesuchs vom 17. Juli 2020 das Berufungs-</w:t>
      </w:r>
    </w:p>
    <w:p>
      <w:r>
        <w:t>- 6 - verfahren gegen die teilweise Gewährung des vorsorglichen Pfandrechts noch pendent war. 6. Damit verfangen die prozessualen Beanstandungen der Beschwerdeführerin nicht, so dass die Beschwerde insoweit abzuweisen ist.</w:t>
      </w:r>
    </w:p>
    <w:p>
      <w:r>
        <w:rPr>
          <w:b/>
        </w:rPr>
        <w:t>E. 6</w:t>
      </w:r>
    </w:p>
    <w:p>
      <w:r>
        <w:t>Alle Korrespondenz an der Stockwerkeigentümergemeinschaft im Bezug auf diese vorläufige Pfändung ist an den Verwalter der Stockwerkeigentümergemeinschaft C._____ zu adressieren und nicht an sein Strafverteidiger RA X._____.</w:t>
      </w:r>
    </w:p>
    <w:p>
      <w:r>
        <w:rPr>
          <w:b/>
        </w:rPr>
        <w:t>E. 7</w:t>
      </w:r>
    </w:p>
    <w:p>
      <w:r>
        <w:t>Da die Hauptbegründung der Vorinstanz Bestand hat, erübrigen sich Aus- führungen zur vorinstanzlichen Eventualbegründung. Die Beschwerde ist abzu- weisen, soweit auf diese eingetreten wird. III. Ausgangsgemäss wird die Beschwerdeführerin für das Beschwerdeverfahren kos- tenpflichtig. Der Streitwert in der Sache beträgt rund Fr. 7'200.–. In Anwendung von § 4 Abs. 1, § 8 Abs. 1 und §10 Abs. 1 GebV OG ist die Entscheidgebühr auf Fr. 350.– festzusetzen. Entschädigungen sind keine zuzusprechen. Der Be- schwerdeführerin nicht, weil sie unterliegt, der Beschwerdegegnerin nicht, weil ihr durch das Beschwerdeverfahren keine entschädigungspflichtigen Aufwendungen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