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PF200069 vom 14. September 2020</w:t>
      </w:r>
    </w:p>
    <w:p>
      <w:r>
        <w:t>ZH Obergericht, 2020-09-14, DE</w:t>
      </w:r>
    </w:p>
    <w:p>
      <w:r>
        <w:rPr>
          <w:b/>
        </w:rPr>
        <w:t xml:space="preserve">Quelle: </w:t>
      </w:r>
      <w:r>
        <w:t>https://mcp.opencaselaw.ch/entscheid/zh_obergericht_PF200069</w:t>
      </w:r>
    </w:p>
    <w:p>
      <w:r>
        <w:t>FR: ZH_OBERGERICHT PF200069 du 14 septembre 2020</w:t>
      </w:r>
    </w:p>
    <w:p>
      <w:r>
        <w:t>IT: ZH_OBERGERICHT PF200069 del 14 settembre 2020</w:t>
      </w:r>
    </w:p>
    <w:p>
      <w:pPr>
        <w:pStyle w:val="Heading2"/>
      </w:pPr>
      <w:r>
        <w:t>Erwägungen</w:t>
      </w:r>
    </w:p>
    <w:p>
      <w:r>
        <w:rPr>
          <w:b/>
        </w:rPr>
        <w:t>E. 1.1</w:t>
      </w:r>
    </w:p>
    <w:p>
      <w:r>
        <w:t>B._____ kündigte mit Schreiben vom 19. Dezember 2019 das Mietverhältnis mit der Gemeinde C._____ [Ort] für die 2.5-Zimmerwohnung im 1. OG in der Lie- genschaft an der D._____-strasse … in C._____ (act. 3/1). Daraufhin hob die Gemeinde C._____ mit Schreiben vom 10. Januar 2020 die Vereinbarung zur Nutzung dieser Wohnung mit dem Untermieter A._____ ebenfalls per 30. April 2020 auf, mit der Aufforderung, die Wohnung bis zu diesem Datum kom- plett zu räumen und sich eine neue Unterkunft zu suchen, weil die Gemeinde C._____ ihm keine mehr zur Verfügung stellen könne (act. 3/6).</w:t>
      </w:r>
    </w:p>
    <w:p>
      <w:r>
        <w:rPr>
          <w:b/>
        </w:rPr>
        <w:t>E. 1.2</w:t>
      </w:r>
    </w:p>
    <w:p>
      <w:r>
        <w:t>Am 4. Juni 2020 reichte B._____ (Gesuchsteller und Beschwerdegegner, nachfolgend Beschwerdegegner) beim Einzelgericht des Bezirksgerichtes Uster ein Ausweisungsbegehren gegen A._____ (Gesuchsgegner und Beschwerdefüh- rer, nachfolgend Beschwerdeführer) ein (act. 1 und act. 2). Mit Urteil vom</w:t>
      </w:r>
    </w:p>
    <w:p>
      <w:r>
        <w:rPr>
          <w:b/>
        </w:rPr>
        <w:t>E. 1.3</w:t>
      </w:r>
    </w:p>
    <w:p>
      <w:r>
        <w:t>Gegen dieses Urteil erhob der Beschwerdeführer mit Eingabe vom 28. August 2020 Beschwerde bei der Kammer mit dem sinngemässen Antrag, es sei der angefochtene Entscheid aufzuheben und es sei das Ausweisungsbegeh- ren abzuweisen (act. 21).</w:t>
      </w:r>
    </w:p>
    <w:p>
      <w:r>
        <w:rPr>
          <w:b/>
        </w:rPr>
        <w:t>E. 1.4</w:t>
      </w:r>
    </w:p>
    <w:p>
      <w:r>
        <w:t>Die vorinstanzlichen Akten wurden beigezogen (act. 1-18). Auf weitere pro- zessleitende Anordnungen wurde verzichtet. Die Sache erweist sich als spruch- reif.</w:t>
      </w:r>
    </w:p>
    <w:p>
      <w:r>
        <w:t>- 3 -</w:t>
      </w:r>
    </w:p>
    <w:p>
      <w:r>
        <w:rPr>
          <w:b/>
        </w:rPr>
        <w:t>E. 2</w:t>
      </w:r>
    </w:p>
    <w:p>
      <w:r>
        <w:t>Juli 2020 hiess das Einzelgericht das Ausweisungsbegehren des Beschwerde- gegners gut und verpflichtete den Beschwerdeführer, die 2.5-Zimmer-wohnung an der D._____-strasse … in C._____ unverzüglich zu räumen, dem Beschwerde- gegner ordnungsgemäss zu übergeben und sein Fahrzeug des Herstellers Rover vom Unterstand auf der Seite des Haupteingangs zu entfernen, unter Androhung der Zwangsvollstreckung im Unterlassungsfall (act. 13 = act. 17 (begründet) = act. 20).</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dass die Beschwerde zudem Rechtsmittelanträge zu enthalten hat. In der Begründung hat ein Beschwerdeführer der Rechtsmittelinstanz im Einzelnen dar- zulegen, aus welchen Gründen der angefochtene Entscheid falsch ist und abge- 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 len, was bereits vor Vorinstanz vorgebracht wurde (sog. Begründungslast; vgl. OGer ZH, LB110049 vom 5. März 2012 E. 1.1 m.w.H.; OGer ZH, PF120022 vom 1. Juni 2012 E. 4.1). Mit der Beschwerde kann die unrichtige Rechtsanwendung und die offensichtlich unrichtige Feststellung des Sachverhaltes geltend gemacht werden (Art. 320 ZPO). Umfasst wird davon auch die Überprüfung von blosser Unangemessenheit, soweit es um Rechtsfolgeermessen geht (vgl. zum Ganzen etwa ZK ZPO-FREIBURGHAUS/AFHELDT, 3. Aufl. 2016, Art. 320 N 3 f. i.V.m. ZK ZPO-REETZ/THEILER, 3. Aufl. 2016, Art. 310 N 36). Neue Tatsachen und Beweis- mittel sind im Beschwerdeverfahren ausgeschlossen (Art. 326 ZPO).</w:t>
      </w:r>
    </w:p>
    <w:p>
      <w:r>
        <w:rPr>
          <w:b/>
        </w:rPr>
        <w:t>E. 2.2</w:t>
      </w:r>
    </w:p>
    <w:p>
      <w:r>
        <w:t>Die vorliegende Beschwerde vom 28. August 2020 (Datum Poststempel) wurde innert der Rechtsmittelfrist schriftlich, mit sinngemässen Anträgen verse- hen und begründet bei der Kammer als der zuständigen Rechtsmittelinstanz ein- gereicht. Nach dem vorhin Gesagten genügt die Begründung den gesetzlichen Anforderungen allerdings nicht. Der Beschwerdeführer macht im Wesentlichen die Erstreckung des Mietverhältnisses geltend, indem er zusammengefasst ausführt, er habe mehrere Wohnungen besichtigt und sich beworben. Weil es viele Bewer- ber für günstige Wohnungen gebe, habe er aber keine Chance. Es sei für ihn un- möglich, eine günstige Wohnung zu finden. Der Gemeindepräsident habe ihm versprochen, eine Wohnung zu finden, habe es aber trotzdem nicht gemacht. Das Sozialamt habe auf seinen Hilferuf nur zynisch reagiert. Die Gemeinde C._____</w:t>
      </w:r>
    </w:p>
    <w:p>
      <w:r>
        <w:t>- 4 - wolle ihm nur eine desolate Wohnung ohne Heizung andrehen (act. 21). Bei die- sem Vorbringen handelt es sich um eine blosse Wiederholung des bereits bei der Vorinstanz Vorgebrachten (vgl. act. 12 und Prot. VI S. 4 f.). Anderes bringt der Beschwerdeführer nicht vor. Eine Auseinandersetzung mit den Erwägungen des angefochtenen Entscheids, wie sie auch von Laien im Ansatz verlangt werden darf, unterbleibt. Es ist nicht ersichtlich, was nach Auffassung des Beschwerde- führers am vorinstanzlichen Entscheid falsch sein und korrigiert werden soll. Es ist daher auf die Beschwerde nicht einzutreten.</w:t>
      </w:r>
    </w:p>
    <w:p>
      <w:r>
        <w:rPr>
          <w:b/>
        </w:rPr>
        <w:t>E. 2.3</w:t>
      </w:r>
    </w:p>
    <w:p>
      <w:r>
        <w:t>Lediglich ergänzend ist der Beschwerdeführer darauf hinzuweisen, dass seiner Beschwerde aber auch in der Sache kein Erfolg beschieden gewesen wä- re. Der Beschwerdeführer verkennt, dass ein möglicher Erstreckungsanspruch le- diglich gegenüber dem Untervermieter und nicht gegenüber dem Vermieter be- stehen kann und auch dann eine Erstreckung höchstens bis zum Ablauf des Hauptmietverhältnisses eingeräumt werden kann. Ist das Hauptmietverhältnis ge- kündigt, hat der Untermieter gegenüber dem Hauptvermieter keinen Anspruch auf weiteren Verbleib im Mietobjekt (Art. 273b Abs. 1 OR; SVIT-Kommentar, 4. Aufl., Zürich/Basel/Genf 2018, Art. 262 N 48 und N 53 sowie Art. 273b N 1, N 6 und N 8 mit Verweis auf BGE 120 II 112 E. 3b/cc; LACHAT/NIDERÖST, Mietrecht für die Pra- xis, 9. Aufl., Zürich 2016, N 23.2.5.2.4 f.). Der Beschwerdeführer anerkannte bei der Vorinstanz die Beendigung des Hauptmietverhältnisses per 30. April 2020. Er kann sich als Untermieter gegenüber dem Beschwerdegegner als Hauptvermieter für den weiteren Verbleib in der Wohnung nicht auf die Erstreckung oder auf ei- nen anderen Rechtsgrund berufen.</w:t>
      </w:r>
    </w:p>
    <w:p>
      <w:r>
        <w:rPr>
          <w:b/>
        </w:rPr>
        <w:t>E. 3</w:t>
      </w:r>
    </w:p>
    <w:p>
      <w:r>
        <w:t>Umständehalber ist auf die Erhebung von Gerichtskosten zu verzichten. Par- teientschädigungen sind keine zuzusprechen, dem Beschwerdeführer nicht, weil er unterliegt, und dem Beschwerdegegner nicht, weil ihm im Beschwerdeverfah- ren keine Umtriebe entstanden sind, die es zu entschädigen gälte (Art. 106 Abs. 1 und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