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PF200042 vom 16. Juni 2020</w:t>
      </w:r>
    </w:p>
    <w:p>
      <w:r>
        <w:t>ZH Obergericht, 2020-06-16, DE</w:t>
      </w:r>
    </w:p>
    <w:p>
      <w:r>
        <w:rPr>
          <w:b/>
        </w:rPr>
        <w:t xml:space="preserve">Quelle: </w:t>
      </w:r>
      <w:r>
        <w:t>https://mcp.opencaselaw.ch/entscheid/zh_obergericht_PF200042</w:t>
      </w:r>
    </w:p>
    <w:p>
      <w:r>
        <w:t>FR: ZH_OBERGERICHT PF200042 du 16 juin 2020</w:t>
      </w:r>
    </w:p>
    <w:p>
      <w:r>
        <w:t>IT: ZH_OBERGERICHT PF200042 del 16 giugno 2020</w:t>
      </w:r>
    </w:p>
    <w:p>
      <w:pPr>
        <w:pStyle w:val="Heading2"/>
      </w:pPr>
      <w:r>
        <w:t>Erwägungen</w:t>
      </w:r>
    </w:p>
    <w:p>
      <w:r>
        <w:rPr>
          <w:b/>
        </w:rPr>
        <w:t>E. 1.1</w:t>
      </w:r>
    </w:p>
    <w:p>
      <w:r>
        <w:t>Die D._____ AG (Gesuchstellerin/Beschwerdegegnerin, fortan Gesuchstel- lerin) als Subunternehmerin und die A._____ AG als Totalunternehmerin schlos- sen einen Werkvertrag über den Einbau von Schränken in diversen Stockwerkei- gentumswohnungen in der Überbauung E._____ in F._____ (vgl. act. 6/1 S. 3 und act. 6/8 S. 3). Am 4. Oktober 2019 stellte die Gesuchstellerin beim Bezirksgericht Bülach insgesamt 41 Gesuche um vorläufige Eintragung von Bauhandwerker- 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G._____ eine unwiderrufliche Zahlungsgarantie über Fr. 359‘746.70 zur Sicher- stellung der offenen Forderung der Gesuchstellerin gegen die Nebenintervenien- tin aus dem Werkvertrag aus. Die Ansicht der Nebenintervenientin, es liege mit der angepassten Garantie der G._____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 tragung des Pfandrechts einzureichen (act. 3). Die Nebenintervenientin erhob in der Folge gegen alle Entscheide Beschwerde bzw. Berufung.</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 gefrist richtet. Gleichzeitig wurde der Nebenintervenientin Frist angesetzt für die Bezahlung eines Kostenvorschusses und der Stockwerkeigentümerschaft, um gegen die Erhebung des Rechtsmittels durch die Nebenintervenientin Wider-</w:t>
      </w:r>
    </w:p>
    <w:p>
      <w:r>
        <w:t>- 3 - spruch zu erheben. Der Kostenvorschuss wurde rechtzeitig bezahlt; Widerspruch wurde keiner erhoben. Innert Frist beantwortete die Gesuchstellerin die Be- schwerde und beantragte deren Abweisung (vgl. act. 7 ff.). Die Akten der Vo- rinstanz wurden beigezogen (act. 6). Das Verfahren ist spruchreif.</w:t>
      </w:r>
    </w:p>
    <w:p>
      <w:r>
        <w:rPr>
          <w:b/>
        </w:rPr>
        <w:t>E. 2.1</w:t>
      </w:r>
    </w:p>
    <w:p>
      <w:r>
        <w:t>Zu beantworten ist die Frage, ob die angepasste Bankgarantie der G._____ eine hinreichende Sicherheit im Sinne von Art. 839 Abs. 3 ZGB darstellt. Eine Ersatzsicherheit ist dann hinreichend im Sinne von Art. 839 Abs. 3 ZGB, wenn sie qualitativ und quantitativ die gleiche Sicherheit bietet wie das Bauhand- werkerpfandrecht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 gen Verteilungsliste im Konkursverfahren der Nebenintervenientin vorliegt, aus der hervorgeht, dass die Forderung der Gesuchstellerin gegenüber der Nebenin- tervenientin aus dem Grundgeschäft oder das Recht auf Eintragung des Bau- handwerkerpfandrechts bzw. auf Sicherstellung durch die Garantie im Konkurs der Nebenintervenientin nicht kolloziert wurde (vgl. act. 4/2). Ziffer 3.3. lit. b der Garantie gilt unabhängig davon, ob die Nebenintervenientin vor oder nach rechts- 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 rin nach Ansicht der Vorinstanz in diesem Fall zunächst ein Kollokationsverfahren zu durchlaufen hätte, um auf die Ersatzsicherheit greifen zu können. Sie verneint deshalb die Gleichwertigkeit der Garantie mit dem Grundpfandrecht. Die Gesuch- stellerin sei mithin gezwungen, am Konkurs der Nebenintervenientin teilzuneh- men. Könnte sie sich jedoch aus einem Bauhandwerkerpfandrecht gegenüber den Stockwerkeigentümern befriedigen, wäre Entsprechendes nicht notwendig (vgl. act. 3 E. 2.3).</w:t>
      </w:r>
    </w:p>
    <w:p>
      <w:r>
        <w:t>- 4 -</w:t>
      </w:r>
    </w:p>
    <w:p>
      <w:r>
        <w:rPr>
          <w:b/>
        </w:rPr>
        <w:t>E. 2.3</w:t>
      </w:r>
    </w:p>
    <w:p>
      <w:r>
        <w:t>Dieser vorinstanzlichen Einschätzung ist nicht zuzustimmen: Liegt vor dem Konkurs der Nebenintervenientin ein rechtskräftiges Forderungsurteil vor, kann die Gesuchstellerin – wie die Nebenintervenientin in ihrer Beschwerde zu Recht geltend macht – die Garantie gestützt auf Ziffer 2 derselben bei der G._____ ohne Weiteres abrufen. Dafür muss sie einzig die formalen Voraussetzungen erfüllen, d.h. eine Rechtskraftbescheinigung beschaffen und der Nebenintervenientin Ge- legenheit einräumen, gestützt auf das rechtskräftige Urteil zu bezahlen; sodann muss sie eine schriftliche Erklärung abgeben, dass trotz Aufforderung nicht be- zahlt wurde, und alle Dokumente der G._____ einreichen (vgl. act. 4/2 Ziff. 2 und Ziff. 3 letzter Absatz sowie BGE 142 III 738 E. 3.1, 3.2 und 5.5.4). Wenige Tage reichen für diese Handlungen zwar nicht aus (vgl. BGE 142 III 738 E. 5.5.5), zwei Monate hingegen schon (vgl. Schumacher, Das Bauhandwerkerpfandrecht,</w:t>
      </w:r>
    </w:p>
    <w:p>
      <w:r>
        <w:rPr>
          <w:b/>
        </w:rPr>
        <w:t>E. 2.4</w:t>
      </w:r>
    </w:p>
    <w:p>
      <w:r>
        <w:t>Fällt die Nebenintervenientin in Konkurs, bevor ein rechtskräftiger Ent- scheid zum Grundgeschäft vorliegt, muss die Gesuchstellerin aufgrund von Ziffer</w:t>
      </w:r>
    </w:p>
    <w:p>
      <w:r>
        <w:rPr>
          <w:b/>
        </w:rPr>
        <w:t>E. 3</w:t>
      </w:r>
    </w:p>
    <w:p>
      <w:r>
        <w:t>Aufl. 2008, N 1261). Fiele die Nebenintervenientin nach rechtskräftiger Fest- stellung der Forderung aus dem Grundgeschäft in Konkurs, bliebe der Gesuch- stellerin selbst bei einem schnellstmöglichen Verlauf des Konkursverfahrens folg- lich genügend Zeit, um die genannten Handlungen vorzunehmen, bevor das Kon- kursverfahren in das Stadium der rechtskräftigen Verteilungsliste gelangen könnte und die Nebenintervenientin gestützt auf Ziffer 3.3. lit. a der Garantie das Erlö- schen derselben bewirken könnte. Die Gesuchstellerin muss sich deshalb im von der Vorinstanz behandelten Beispiel am Konkurs der Nebenintervenientin nicht beteiligen und ihre Rechtsstellung wird durch die Garantie im Vergleich zum Bau- handwerkerpfandrecht nicht erschwert.</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 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 lerin mit ihren Anträgen in beiden Verfahren unterliegt. Wie die Vorinstanz darleg- 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 für den Fall, dass sie innert Frist keine Klage auf Feststellung der Forderung an- hängig machen sollte, verpflichtet, der Nebenintervenientin für das erstinstanzli- 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t>- 6 -</w:t>
      </w:r>
    </w:p>
    <w:p>
      <w:r>
        <w:rPr>
          <w:b/>
        </w:rPr>
        <w:t>E. 3.3</w:t>
      </w:r>
    </w:p>
    <w:p>
      <w:r>
        <w:t>Ausgehend von einem Streitwert von Fr. 5'451.60 sind die Gerichtskosten des zweitinstanzlichen Verfahrens in Anwendung von § 4 Abs. 1 und 2, § 8 Abs. 1 und § 12 Abs. 1 und 2 GebV OG auf Fr. 400.– festzusetzen.</w:t>
      </w:r>
    </w:p>
    <w:p>
      <w:r>
        <w:rPr>
          <w:b/>
        </w:rPr>
        <w:t>E. 3.4</w:t>
      </w:r>
    </w:p>
    <w:p>
      <w:r>
        <w:t>Die Parteientschädigung der Nebenintervenientin für das zweitinstanzliche Verfahren ist in Anwendung von § 4 Abs. 1 und 2, § 9 und § 13 Abs. 1 und 2 An- 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