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PF200039 vom 16. Juni 2020</w:t>
      </w:r>
    </w:p>
    <w:p>
      <w:r>
        <w:t>ZH Obergericht, 2020-06-16, DE</w:t>
      </w:r>
    </w:p>
    <w:p>
      <w:r>
        <w:rPr>
          <w:b/>
        </w:rPr>
        <w:t xml:space="preserve">Quelle: </w:t>
      </w:r>
      <w:r>
        <w:t>https://mcp.opencaselaw.ch/entscheid/zh_obergericht_PF200039</w:t>
      </w:r>
    </w:p>
    <w:p>
      <w:r>
        <w:t>FR: ZH_OBERGERICHT PF200039 du 16 juin 2020</w:t>
      </w:r>
    </w:p>
    <w:p>
      <w:r>
        <w:t>IT: ZH_OBERGERICHT PF200039 del 16 giugno 2020</w:t>
      </w:r>
    </w:p>
    <w:p>
      <w:pPr>
        <w:pStyle w:val="Heading2"/>
      </w:pPr>
      <w:r>
        <w:t>Erwägungen</w:t>
      </w:r>
    </w:p>
    <w:p>
      <w:r>
        <w:rPr>
          <w:b/>
        </w:rPr>
        <w:t>E. 1.1</w:t>
      </w:r>
    </w:p>
    <w:p>
      <w:r>
        <w:t>Die C._____ AG (Gesuchstellerin/Beschwerdegegnerin, fortan Gesuchstel- lerin) als Subunternehmerin und die A._____ AG als Totalunternehmerin schlos- sen einen Werkvertrag über den Einbau von Schränken in diversen Stockwerkei- gentumswohnungen in der Überbauung D._____ in E._____ (vgl. act. 6/1 S. 3 und act. 6/8 S. 3). Am 4. Oktober 2019 stellte die Gesuchstellerin beim Bezirksge- richt Bülach insgesamt 41 Gesuche um vorläufige Eintragung von Bauhandwer- 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F._____ eine unwiderrufliche Zahlungsgarantie über Fr. 359‘746.70 zur Sicher- stellung der offenen Forderung der Gesuchstellerin gegen die Nebenintervenien- tin aus dem Werkvertrag aus. Die Ansicht der Nebenintervenientin, es liege mit der angepassten Garantie der F._____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 spruch zu erheben. Der Kostenvorschuss wurde rechtzeitig bezahlt; Widerspruch wurde keiner erhoben. Innert Frist beantwortete die Gesuchstellerin die Be-</w:t>
      </w:r>
    </w:p>
    <w:p>
      <w:r>
        <w:t>- 3 - schwerde und beantragte deren Abweisung (vgl. act. 7 ff.). Die Akten der Vo- rinstanz wurden beigezogen (act. 6). Das Verfahren ist spruchreif.</w:t>
      </w:r>
    </w:p>
    <w:p>
      <w:r>
        <w:rPr>
          <w:b/>
        </w:rPr>
        <w:t>E. 2.1</w:t>
      </w:r>
    </w:p>
    <w:p>
      <w:r>
        <w:t>Zu beantworten ist die Frage, ob die angepasste Bankgarantie der F._____ eine hinreichende Sicherheit im Sinne von Art. 839 Abs. 3 ZGB darstellt. Eine Er- satzsicherheit ist dann hinreichend im Sinne von Art. 839 Abs. 3 ZGB, wenn sie qualitativ und quantitativ die gleiche Sicherheit bietet wie das Bauhandwerker- 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rPr>
          <w:b/>
        </w:rPr>
        <w:t>E. 2.3</w:t>
      </w:r>
    </w:p>
    <w:p>
      <w:r>
        <w:t>Dieser vorinstanzlichen Einschätzung ist nicht zuzustimmen: Liegt vor dem Konkurs der Nebenintervenientin ein rechtskräftiges Forderungsurteil vor, kann</w:t>
      </w:r>
    </w:p>
    <w:p>
      <w:r>
        <w:t>- 4 - die Gesuchstellerin – wie die Nebenintervenientin in ihrer Beschwerde zu Recht geltend macht – die Garantie gestützt auf Ziffer 2 derselben bei der F._____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F._____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rPr>
          <w:b/>
        </w:rPr>
        <w:t>E. 3.3</w:t>
      </w:r>
    </w:p>
    <w:p>
      <w:r>
        <w:t>Ausgehend von einem Streitwert von Fr. 5'451.60 sind die Gerichtskosten des zweitinstanzlichen Verfahrens in Anwendung von § 4 Abs. 1 und 2, § 8 Abs. 1 und § 12 Abs. 1 und 2 GebV OG auf Fr. 400.– festzusetzen.</w:t>
      </w:r>
    </w:p>
    <w:p>
      <w:r>
        <w:t>- 6 -</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