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PF190054 vom 5. Dezember 2019</w:t>
      </w:r>
    </w:p>
    <w:p>
      <w:r>
        <w:t>ZH Obergericht, 2019-12-05, DE</w:t>
      </w:r>
    </w:p>
    <w:p>
      <w:r>
        <w:rPr>
          <w:b/>
        </w:rPr>
        <w:t xml:space="preserve">Quelle: </w:t>
      </w:r>
      <w:r>
        <w:t>https://mcp.opencaselaw.ch/entscheid/zh_obergericht_PF190054</w:t>
      </w:r>
    </w:p>
    <w:p>
      <w:r>
        <w:t>FR: ZH_OBERGERICHT PF190054 du 5 décembre 2019</w:t>
      </w:r>
    </w:p>
    <w:p>
      <w:r>
        <w:t>IT: ZH_OBERGERICHT PF190054 del 5 dicembre 2019</w:t>
      </w:r>
    </w:p>
    <w:p>
      <w:pPr>
        <w:pStyle w:val="Heading2"/>
      </w:pPr>
      <w:r>
        <w:t>Erwägungen</w:t>
      </w:r>
    </w:p>
    <w:p>
      <w:r>
        <w:rPr>
          <w:b/>
        </w:rPr>
        <w:t>E. 1</w:t>
      </w:r>
    </w:p>
    <w:p>
      <w:r>
        <w:t>Mit Urteil vom 29. Oktober 2019 hiess das Einzelgericht Audienz des Be- zirksgerichtes Zürich das Ausweisungsbegehren von B._____ AG (Gesuch- stellerin und Beschwerdegegnerin) vom 26. September 2019 gut und verur- teilte A._____ (Gesuchsgegner und Beschwerdeführer), das möbilierte Zimmer …, …-strasse …, … Zürich der Gesuchstellerin unverzüglich ord- nungsgemäss zu übergeben (act. 15 Dispositiv-Ziffer 1). Ferner wurde das Stadtammannamt Zürich 11 angewiesen, Dispositiv-Ziffer 1 des mit einer Vollstreckbarkeitsbescheinigung versehenen Entscheids auf Verlangen der Gesuchstellerin zu vollstrecken (act. 15 Dispositiv-Ziffer 2). Am 15. Novem- ber 2019 ging beim Obergericht eine Beschwerde von A._____ ein (act. 16). Er verlangte, der Ausweisungsbefehl sei zurückzuziehen und die Entscheid- gebühr von Fr. 500.– durch die Gesuchstellerin ersetzen zu lassen (act. 16 S. 2).</w:t>
      </w:r>
    </w:p>
    <w:p>
      <w:r>
        <w:rPr>
          <w:b/>
        </w:rPr>
        <w:t>E. 2</w:t>
      </w:r>
    </w:p>
    <w:p>
      <w:r>
        <w:t>a) Der vorinstanzliche Entscheid wurde dem Beschwerdeführer am 4. No- vember 2019 persönlich ausgehändigt (act. 11-12). Die 10-tägige Be- schwerdefrist lief demnach am 14. November 2019 ab. Eingaben müssen spätestens am letzten Tag der Frist beim Gericht eingereicht oder zu dessen Handen der Schweizerischen Post oder einer schweizerischen diplomati- schen oder konsularischen Vertretung übergeben werden (Art. 143 Abs. 1 ZPO). Wird die Frist nicht eingehalten, tritt das Obergericht auf die Be- schwerde nicht ein. b) Vorliegend wurde das Rechtsmittel vom Beschwerdeführer in den Brief- kasten vor dem Obergericht geworfen und ging beim Empfang des Oberge- richtes am 15. November 2019 um 08:50 Uhr ein (act. 16 S. 3). A._____ leg- te seiner Beschwerde ein Schreiben der Beschwerdegegnerin vom 16. Sep- tember 2019 bei und brachte auf dessen Rückseite folgenden handschriftli- chen Vermerk an (act. 16/2): "Einwurf fristgerecht 14.11.19 23:45 Uhr, bitte Bestätigung fristgerechter Empfang … per SMS". Den fristgerechten Einwurf in den Briefkasten des Obergerichtes (am 14. November 2019 bis 24:00</w:t>
      </w:r>
    </w:p>
    <w:p>
      <w:r>
        <w:t>- 3 - Uhr) müsste der Beschwerdeführer mit Zeugen nachweisen. Diesbezüglich sind aber keine weiteren Abklärungen nötig, da aus anderen Gründen auf die Beschwerde nicht einzutreten ist.</w:t>
      </w:r>
    </w:p>
    <w:p>
      <w:r>
        <w:rPr>
          <w:b/>
        </w:rPr>
        <w:t>E. 3</w:t>
      </w:r>
    </w:p>
    <w:p>
      <w:r>
        <w:t>Wie den nachfolgenden Erwägungen zu entnehmen ist, erweist sich die Be- schwerde als offensichtlich unbegründet. Eine Beschwerdeantwort ist des- halb nicht einzuholen (Art. 322 Abs. 1 ZPO).</w:t>
      </w:r>
    </w:p>
    <w:p>
      <w:r>
        <w:rPr>
          <w:b/>
        </w:rPr>
        <w:t>E. 4</w:t>
      </w:r>
    </w:p>
    <w:p>
      <w:r>
        <w:t>a) Die Vorinstanz führte in ihrem Entscheid aus, die Gesuchstellerin habe das Mietverhältnis mit Schreiben und Kündigungsformular vom 29. Juli 2019 per 31. August 2019 (act. 3/2-3) gekündigt. In den Akten gebe es keine Hin- weise auf einen Rückzug der Kündigung durch die Gesuchstellerin (act. 15 Erw. 2.1). Die Parteien hätten im Mietvertrag vom 20./21. November 2018 vorgesehen, dass mit einer dreissigtägigen Kündigungsfrist auf Mitte oder Ende eines jeden Monats gekündigt werden könne (act. 3/1). Das Kündi- gungsschreiben vom 29. Juli 2019 sei dem Gesuchsgegner am 2. August 2019 zur Abholung gemeldet worden, womit es von diesem am Folgetag als empfangen gelte. Ab dem Empfang laufe denn auch die vereinbarte dreis- sigtägige Kündigungsfrist, weshalb eine Kündigung per 31. August 2019 ver- früht gewesen wäre. Damit gelte die Kündigung vom 29. Juli 2019 erst auf den nächstmöglichen Termin am 15. September 2019 als gültig erfolgt. Hiervon gehe auch die Gesuchstellerin aus (act. 1 S. 2 Rz. 2). Der Ge- suchsgegner befinde sich daher ohne Rechtsgrund bis heute im Mietobjekt (act. 15 Erw. 4.2). An diesem Ergebnis vermöchten die Einwendungen des Gesuchsgegners nichts zu ändern. Die ordentliche Kündigung nach Art. 266a OR sei neben der Einhaltung der Fristen und Termine an keine weite- ren Voraussetzungen gebunden. Daher könne offen bleiben, ob die Voraus- setzungen für eine ausserordentliche Kündigung gemäss Art. 257f Abs. 3 OR erfüllt wären. Damit sei der rechtlich relevante Sachverhalt erstellt und die Rechtslage klar. Dem Ausweisungsgesuch der Gesuchstellerin sei daher stattzugeben (act. 15 Erw. 4.3-4.4). b) Der Beschwerdeführer brachte unter Hinweis auf Beilage 1 (act. 17/1) vor, die Gesuchstellerin habe das Mietverhältnis lediglich mit Schreiben vom 29.</w:t>
      </w:r>
    </w:p>
    <w:p>
      <w:r>
        <w:t>- 4 - Juli 2019 und ohne amtliches Kündigungsformular gekündigt. In diesem Schreiben sei die Kündigung ausgesprochen worden ohne Kündigungster- min mit Erwähnung eines Mietausstandes von Fr. 2'075.– und dem Hinweis, dass die Kündigung zurückgezogen werde, wenn der Mietausstand bis</w:t>
      </w:r>
    </w:p>
    <w:p>
      <w:r>
        <w:rPr>
          <w:b/>
        </w:rPr>
        <w:t>E. 5</w:t>
      </w:r>
    </w:p>
    <w:p>
      <w:r>
        <w:t>a) Die Beschwerde ist bei der Rechtsmittelinstanz innert der Rechtsmittelfrist schriftlich und begründet einzureichen (Art. 321 Abs. 1 ZPO). Es kann die unrichtige Rechtsanwendung und die offensichtlich unrichtige Feststellung des Sachverhalts geltend gemacht werden (Art. 320 ZPO). Neue Anträge, neue Tatsachenbehauptungen und neue Beweismittel sind im Beschwerde- verfahren ausgeschlossen (Art. 326 Abs. 1 ZPO). Aus der Obliegenheit zur Begründung der Beschwerde ergibt sich, dass die Beschwerde auch Rechtsmittelanträge zu enthalten hat. Im Rahmen der Rechtsmittelbelehrung wurde der Beschwerdeführer darauf hingewiesen (act.15 Dispositiv Ziffer 6). Ein Rechtsmittelkläger hat sich mit der Begründung des angefochtenen Ent- scheides auseinanderzusetzen und im Einzelnen darzulegen, aus welchen Gründen der angefochtene Entscheid falsch ist. Allerdings wird bei Laien zur Erfüllung des Erfordernisses, einen Antrag zu stellen und zu begründen, sehr wenig verlangt. Als Antrag genügt eine Formulierung, aus der sich mit gutem Willen herauslesen lässt, wie das Obergericht entscheiden soll. Und als Begründung reicht es aus, wenn nur ganz rudimentär zum Ausdruck kommt, weshalb der angefochtene Entscheid nach Auffassung des Rechts- mittelklägers unrichtig sein soll. Sind auch diese minimalen Anforderungen nicht erfüllt, tritt das Obergericht auf ein Rechtsmittel nicht ein, und zwar ins-</w:t>
      </w:r>
    </w:p>
    <w:p>
      <w:r>
        <w:t>- 5 - besondere auch dann, wenn das Verfahren dem (eingeschränkten) Untersu- chungsgrundsatz unterliegt. b) Den genannten Anforderungen an die Begründung genügt die vorliegen- de Beschwerdeschrift nicht. Es ist nicht zu bezweifeln, dass der Beschwer- deführer im möbilierten Zimmer bleiben will. Mit den vorerwähnten vorin- stanzlichen Erwägungen (vgl. Ziffer 4.a) setzt er sich hingegen überhaupt nicht auseinander, sondern stellt diesen seine eigene Betrachtungsweise gegenüber. So geht er nicht auf die ordentliche Kündigung ein, sondern be- hauptet, es liege eine ausserordentliche Kündigung vor und diesbezüglich seien die Formvorschriften nicht eingehalten worden. Im Entscheid hatte die Vorinstanz unter Hinweis auf die eingereichten Beilagen der Beschwerde- gegnerin erwogen, das Mietverhältnis sei mit Schreiben und Kündigungs- formular vom 29. Juli 2019 per 31. August 2019 gekündigt worden (act. 15 Erw. 2.1). Die Verwendung dieses offiziellen Kündigungsformulares blendet der Beschwerdeführer aus, obwohl ihm die Vorinstanz dieses und weitere von der Beschwerdegegnerin eingereichte Beilagen im Rahmen der Fristan- setzung zur Stellungnahme zugestellt hatte (act. 4 i.V.m. act. 6 und act. 3/1- 4). Mit seinen Ausführungen zeigt er nicht im Ansatz auf, was an der vorin- stanzlichen Sachverhaltsdarstellung falsch ist und kommt somit seiner Be- gründungspflicht nicht nach (Art. 321 Abs. 1 ZPO), weshalb auf die Be- schwerde nicht einzutreten ist.</w:t>
      </w:r>
    </w:p>
    <w:p>
      <w:r>
        <w:rPr>
          <w:b/>
        </w:rPr>
        <w:t>E. 6</w:t>
      </w:r>
    </w:p>
    <w:p>
      <w:r>
        <w:t>a) Selbst wenn auf die Beschwerde eingetreten würde, müsste sie abgewie- sen werden. Im vorinstanzlichen Verfahren hat der Beschwerdeführer seine Stellungnahme zum Ausweisungsgesuch nicht begründet, sondern nur die Abweisung des Gesuches verlangt (act. 8a-b).Bei den neu eingereichten Beilagen 17/1-4 (mit Handnotizen) handelt es sich um unzulässige Noven, welche im Beschwerdeverfahren unberücksichtigt zu bleiben haben. Selbst wenn diese Beweismittel bereits vor Vorinstanz eingereicht worden wären, hätte dies aber keine Änderung des Entscheides bewirkt. b) Der Beschwerdeführer übersieht nämlich, dass die Kündigung mit offiziel- lem Formular erfolgte (act. 3/3) und es sich bei seinem eingereichten Kündi-</w:t>
      </w:r>
    </w:p>
    <w:p>
      <w:r>
        <w:t>- 6 - gungsschreiben vom 29. Juli 2019 (act. 17/1), welches die Beschwerdegeg- nerin als act. 3/2 bei der Vorinstanz eingereicht hatte, lediglich um das Be- gleitschreiben zu diesem offiziellen Kündigungsformular handelt.</w:t>
      </w:r>
    </w:p>
    <w:p>
      <w:r>
        <w:rPr>
          <w:b/>
        </w:rPr>
        <w:t>E. 7</w:t>
      </w:r>
    </w:p>
    <w:p>
      <w:r>
        <w:t>a) Im Gegensatz zur Geltendmachung einer missbräuchlichen Kündigung kann im Verfahren Rechtsschutz in klaren Fällen die nichtige oder unwirk- same Kündigung gerügt werden und muss dann vorfrageweise geprüft wer- den. Laut Mietvertrag konnte das Mietverhältnis 30 Tage auf Mitte oder En- de jeden Monats gekündigt werden (act. 3/1). Unter Verwendung des amtli- chen Formulars wurde dem Beschwerdeführer mit Schreiben vom 29. Juli 2019 ordentlich per 31. August 2019 gekündigt (act. 3/3 i.V.m. act. 3/2). Ob- wohl diese Kündigung dem Beschwerdeführer nicht zugestellt werden konn- te (act. 3/4, vollständiger Ausdruck der Sendungsverfolgung act. 19), ist sie gültig. Bei der Kündigung handelt es sich um eine empfangsbedürftige Wil- lenserklärung. Sie entfaltet ihre Wirkung bereits, wenn sie im Zugriffsbereich des Empfängers eingetroffen ist. Dabei spielt es keine Rolle, ob jener von ihr Kenntnis genommen hat. Es genügt, dass sie in seinen Machtbereich, bei- spielsweise durch Abholungseinladung im Briefkasten bzw. im Postfach, ge- langt ist (vgl. dazu BGE 143 III 15 Erw. 4). Die Postsendung der Kündigung wurde dem Beschwerdeführer vorliegend am 2. August 2019 mit Abho- lungsmeldung angezeigt (act. 3/4, act. 19). Unter Einhaltung der Kündi- gungsfrist von 30 Tagen gilt die Kündigung erst auf den 15. September 2019 als erfolgt. Davon geht auch die Beschwerdegegnerin aus (act. 1 S. 2). Die Kündigung erfolgte somit frist-, form- und termingerecht (Art. 266l Abs. 2 OR i.V.m. Art. 9 VMWG und Art. 266e OR). Sie wurde innert Frist auch nicht an- gefochten (Art. 271 ff. und Art. 273 OR). Zum Widerruf einer Kündigung ist zu bemerken, dass eine Kündigung grundsätzlich - vorbehalten bleibt der Widerruf einseitiger Willenserklärun- gen nach Art. 9 OR - unwiderruflich ist, da ihre vertragsauflösende Wirkung mit ihrer Abgabe bzw. dem Eingang beim Adressaten unmittelbar eintritt. Sie kann jedoch mit Einwilligung der Gegenpartei "rückgängig gemacht" werden. In diesem Fall wird das Mietverhältnis zu den bisherigen Bestimmungen wei-</w:t>
      </w:r>
    </w:p>
    <w:p>
      <w:r>
        <w:t>- 7 - tergeführt, oder es wird, wenn der Kündigungstermin bereits eingetreten ist, ein neuer Vertrag gleichen Inhalts angenommen. Dieser neue Vertrag kann ausdrücklich oder konkludent vereinbart werden (ZK OR-Higi, 4. Auflage 1995, Vorbemerkungen zu Art. 266-266o N 46). In den Akten finden sich keine Hinweise dafür, dass die Kündigung "zurückgezogen" worden ist. b) Die ordentliche Kündigung ist damit gültig und der Ausweisungsanspruch entsprechend ausgewiesen. Seit dem 16. September 2019 hält sich der Be- schwerdeführer somit ohne Rechtsgrund im Mietobjekt auf. Aus diesem Grunde wäre die Beschwerde abzuweisen.</w:t>
      </w:r>
    </w:p>
    <w:p>
      <w:r>
        <w:rPr>
          <w:b/>
        </w:rPr>
        <w:t>E. 8</w:t>
      </w:r>
    </w:p>
    <w:p>
      <w:r>
        <w:t>a) Ausgangsgemäss sind die Kosten des vorliegenden Beschwerdeverfah- rens dem Beschwerdeführer aufzuerlegen (Art. 106 Abs. 1 ZPO). Zum Streitwert führte die Vorinstanz aus, da sich die Parteien über den Streitwert nicht geeinigt hätten (Art. 91 Abs. 2 ZPO), sei für dessen Bemessung pra- xisgemäss von sechs Bruttomonatsmietzinsen auszugehen. Der monatliche Bruttomietzins liege bei Fr. 1'050.–, womit ein Streitwert von Fr. 6'300.– re- sultiere (act. 15 Erw. 6). Der Beschwerdeführer verlangt eine Korrektur des Streitwertes ohne auszuführen, wie hoch dieser sein soll (act. 16 S. 2). b) Der Streitwert im Ausweisungsverfahren entspricht, wie die Vorinstanz zu- treffend ausführt, in der Regel sechs Monatsmietzinsen (OGer ZH PF140002 vom 21. Februar 2014). Ausgehend von einem Streitwert von Fr. 6'300.– (6 x Fr. 1'050.–) (vgl. act. 3/1) ist die Entscheidgebühr auf Fr. 500.– festzusetzen (§ 12 Abs. 1 und 2 i.V.m. § 4 Abs. 1 und 2, sowie § 8 Abs. 1 und § 10 Abs. 1 GebV OG). Parteientschädigungen sind keine zuzu- sprechen. Der Beschwerdeführ unterliegt, und der Beschwerdegegnerin sind keine Umtriebe entstanden.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