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PF190010 vom 13. März 2019</w:t>
      </w:r>
    </w:p>
    <w:p>
      <w:r>
        <w:t>ZH Obergericht, 2019-03-13, DE</w:t>
      </w:r>
    </w:p>
    <w:p>
      <w:r>
        <w:rPr>
          <w:b/>
        </w:rPr>
        <w:t xml:space="preserve">Quelle: </w:t>
      </w:r>
      <w:r>
        <w:t>https://mcp.opencaselaw.ch/entscheid/zh_obergericht_PF190010</w:t>
      </w:r>
    </w:p>
    <w:p>
      <w:r>
        <w:t>FR: ZH_OBERGERICHT PF190010 du 13 mars 2019</w:t>
      </w:r>
    </w:p>
    <w:p>
      <w:r>
        <w:t>IT: ZH_OBERGERICHT PF190010 del 13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Sachverhalt und Prozessgeschichte</w:t>
      </w:r>
    </w:p>
    <w:p>
      <w:r>
        <w:rPr>
          <w:b/>
        </w:rPr>
        <w:t>E. 1.1</w:t>
      </w:r>
    </w:p>
    <w:p>
      <w:r>
        <w:t>Gemäss unbestritten gebliebenen Feststellungen der Vorinstanz schlossen die Parteien am 14. März 2018 einen Mietvertrag über ein Zimmer in der 3 ½- Zimmerwohnung im 2. Stock, C._____-Strasse …, … Zürich, inkl. der im 2. OG zur Mitbenützung zur Verfügung gestellten Räumlichkeiten (u.a. Küche, Korridor sowie das Bad/WC). Die Gesuchstellerin und Beschwerdegegnerin (nachfolgend: Beschwerdegegnerin) kündigte das Mietverhältnis mit Schreiben vom 30. Oktober 2018 unter Verwendung des amtlich genehmigten Formulars ordentlich per 31. Dezember 2018 (vgl. act. 1 Rz. 7 und act. 4/7) und teilte dem Gesuchsgegner und Beschwerdeführer (nachfolgend: Beschwerdeführer) mit Schreiben vom 13. Dezember 2018 mit, der ordentliche Kündigungstermin verschiebe sich auf den 28. Februar 2019 (act. 1 Rz. 8 und act. 4/9). Weder die Kündigungsandro- hung noch die Kündigung wurden vom Beschwerdeführer entgegengenommen oder abgeholt (act. 1 Rz. 5 und 7 f., act. 4/8, act. 4/9 Blatt 4 und act. 4/11).</w:t>
      </w:r>
    </w:p>
    <w:p>
      <w:r>
        <w:rPr>
          <w:b/>
        </w:rPr>
        <w:t>E. 1.2</w:t>
      </w:r>
    </w:p>
    <w:p>
      <w:r>
        <w:t>Mit Eingabe vom 23. Januar 2019 stellte die Beschwerdegegnerin beim Ein- zelgericht Audienz des Bezirksgerichtes Zürich (nachfolgend: Vorinstanz) das Ausweisungsbegehren (vgl. act. 1). Die Vorinstanz gab dem Beschwerdeführer mit Verfügung vom 25. Januar 2019 (act. 5) Gelegenheit zur schriftlichen Stel- lungnahme. Der Beschwerdeführer verweigerte die Annahme dieser Verfügung inkl. Doppel des Gesuchs (act. 1) und Beilagen, was vom Stadtammannamt Zü- rich … festgehalten wurde (act. 8 Blatt 2), weshalb die Verfügung am Tag der An- nahmeverweigerung als zugestellt galt (vgl. Art. 138 Abs. 3 lit. b ZPO).</w:t>
      </w:r>
    </w:p>
    <w:p>
      <w:r>
        <w:rPr>
          <w:b/>
        </w:rPr>
        <w:t>E. 1.3</w:t>
      </w:r>
    </w:p>
    <w:p>
      <w:r>
        <w:t>Der Beschwerdeführer liess sich innert Frist nicht vernehmen, weshalb die Vorinstanz androhungsgemäss (vgl. act. 5 Dispositiv-Ziffer 1) aufgrund der Akten mit Urteil vom 1. März 2019 (act. 12 = act. 16 [Aktenexemplar] = act. 18) wie folgt entschied: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