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PF180010 vom 23. März 2018</w:t>
      </w:r>
    </w:p>
    <w:p>
      <w:r>
        <w:t>ZH Obergericht, 2018-03-23, DE</w:t>
      </w:r>
    </w:p>
    <w:p>
      <w:r>
        <w:rPr>
          <w:b/>
        </w:rPr>
        <w:t xml:space="preserve">Quelle: </w:t>
      </w:r>
      <w:r>
        <w:t>https://mcp.opencaselaw.ch/entscheid/zh_obergericht_PF180010</w:t>
      </w:r>
    </w:p>
    <w:p>
      <w:r>
        <w:t>FR: ZH_OBERGERICHT PF180010 du 23 mars 2018</w:t>
      </w:r>
    </w:p>
    <w:p>
      <w:r>
        <w:t>IT: ZH_OBERGERICHT PF180010 del 23 marzo 2018</w:t>
      </w:r>
    </w:p>
    <w:p>
      <w:pPr>
        <w:pStyle w:val="Heading2"/>
      </w:pPr>
      <w:r>
        <w:t>Erwägungen</w:t>
      </w:r>
    </w:p>
    <w:p>
      <w:r>
        <w:rPr>
          <w:b/>
        </w:rPr>
        <w:t>E. 1</w:t>
      </w:r>
    </w:p>
    <w:p>
      <w:r>
        <w:t>Der Nebenintervenient und Beschwerdeführer (nachfolgend: Beschwerde- führer) und die Gesuchstellerin und Beschwerdegegnerin (nachfolgend: Be- schwerdegegnerin) sind miteinander verheiratet; an ihrem Wohnort in Israel ist al- lerdings ein Scheidungsverfahren hängig. Die Beschwerdegegnerin ist Kontoin- haberin und Einzelzeichnungsberechtigte des am 20. Januar 2011 eröffneten Kontos Nr. … (USD) bei der Gesuchsgegnerin (nachfolgend: Bank). Am 19. April 2016 unterzeichneten die Beschwerdegegnerin und der Beschwerdeführer eine Erklä- rung, wonach beide am fraglichen Konto wirtschaftlich berechtigt seien und das Konto nur aus Zweckmässigkeitsgründen alleine auf den Namen der Beschwer- degegnerin laute. Diese Erklärung wurde auch der Bank zugestellt. Im August 2017 versuchte die Beschwerdegegnerin, vom besagten Konto Geld abzuheben. Die Bank weigerte sich jedoch, die verlangte Überweisung vorzunehmen, weil sie an der Verfügungsberechtigung der Beschwerdegegnerin zweifelte.</w:t>
      </w:r>
    </w:p>
    <w:p>
      <w:r>
        <w:rPr>
          <w:b/>
        </w:rPr>
        <w:t>E. 2</w:t>
      </w:r>
    </w:p>
    <w:p>
      <w:r>
        <w:t>Mit Eingabe vom 24. November 2017 leitete die Beschwerdegegnerin da- raufhin beim Einzelgericht Audienz des Bezirksgerichts Zürich (nachfolgend: Vor- instanz) eine Klage gegen die Bank ein, wobei sie beantragte, die Bank sei zur Auszahlung von USD 10'000.– zuzüglich Verzugszins seit 10. August 2017 zu verpflichten (act. 1). Die Vorinstanz gewährte der Bank mit Verfügung vom 30. November 2017 Gelegenheit zur Stellungnahme (act. 5), worauf die Bank mit Eingabe vom 11. Dezember 2017 dem Beschwerdeführer den Streit verkündete und beantragte, es sei ihm die Streitverkündung zur Kenntnis zu bringen und es sei ihm eine angemessene Frist zum Beitritt in das vorliegende Verfahren anzu- setzen. Einen materiellen Antrag stellte die Bank (einstweilen) nicht (act. 7, insb. S. 2 und Rz 13). Die Vorinstanz setzte dem Beschwerdeführer mit Verfügung vom 14. Dezember 2017 eine Frist an zur Erklärung, ob er dem Prozess beitreten wol-</w:t>
      </w:r>
    </w:p>
    <w:p>
      <w:r>
        <w:t>- 3 - le (act. 9), woraufhin der Beschwerdeführer dem Prozess als Nebenintervenient beitrat (act. 13). Nach prozessualen Weiterungen (vgl. act. 15-21/22-23) hiess die Vorinstanz die Klage schliesslich mit Urteil vom 2. Februar 2018 gut und verpflich- tete die Bank, der Beschwerdegegnerin USD 10'000.– nebst Zins zu 5 % seit 10. August 2017 zu bezahlen (act. 24 = act. 27 = act. 29; nachfolgend zitiert als act. 27).</w:t>
      </w:r>
    </w:p>
    <w:p>
      <w:r>
        <w:rPr>
          <w:b/>
        </w:rPr>
        <w:t>E. 3</w:t>
      </w:r>
    </w:p>
    <w:p>
      <w:r>
        <w:t>Der Beschwerde sei aufschiebende Wirkung zu gewähren.</w:t>
      </w:r>
    </w:p>
    <w:p>
      <w:r>
        <w:rPr>
          <w:b/>
        </w:rPr>
        <w:t>E. 4</w:t>
      </w:r>
    </w:p>
    <w:p>
      <w:r>
        <w:t>Mit Verfügung vom 22. Februar 2018 wurde der Beschwerde die aufschie- bende Wirkung nicht erteilt und dem Beschwerdeführer Frist zur Leistung eines Kostenvorschusses angesetzt (act. 32). Letzterer ging fristgerecht (vgl. act. 33/1) ein (act. 34).</w:t>
      </w:r>
    </w:p>
    <w:p>
      <w:r>
        <w:rPr>
          <w:b/>
        </w:rPr>
        <w:t>E. 5</w:t>
      </w:r>
    </w:p>
    <w:p>
      <w:r>
        <w:t>Wenn der Beschwerdeführer ausführt, gemäss Auftragsrecht müsse die Bank als Beauftragte sittenwidrige oder widerrechtliche Weisungen nicht ausfüh- ren und der ursprünglich erteilte Auftrag könne durch Weisungen der Beschwer- degegnerin als Auftraggeberin nicht abgeändert werden (act. 28 Rz 24 f.), so trifft dies als Grundsatz wohl zu (vgl. BSK OR I-Weber, 6. Aufl. 2015, Art. 397 N 5 und</w:t>
      </w:r>
    </w:p>
    <w:p>
      <w:r>
        <w:rPr>
          <w:b/>
        </w:rPr>
        <w:t>E. 7</w:t>
      </w:r>
    </w:p>
    <w:p>
      <w:r>
        <w:t>Wenn der Beschwerdeführer schliesslich vorbringt, die Bank verlange von der Beschwerdegegnerin zu Recht eine Dokumentation, wonach sie zweifelsfrei die alleine wirtschaftlich Berechtigte sei und auch kein ausländisches Urteil ihre Verfügungsbefugnisse begrenze, was die Beschwerdegegnerin aber nicht vorle- gen könne (act. 28 Rz 33), so übersieht er Folgendes: Unterlagen, wonach die Beschwerdegegnerin die alleinige wirtschaftlich Berechtigte an den sich auf dem streitgegenständlichen Konto befindlichen Vermögenswerte sei, sind wie aufge- zeigt weder erforderlich noch dürfen sie von der Bank zur Voraussetzung einer Auszahlung gemacht werden. Auch ist erstellt, dass kein ausländisches Urteil die Verfügungsbefugnisse der Beschwerdegegnerin begrenzt, bringt der Beschwer- deführer in Übereinstimmung mit der entsprechenden Feststellung der Vorinstanz doch selbst vor, zum jetzigen Zeitpunkt läge noch kein anerkennungs- bzw. voll- streckungsfähiger Endentscheid eines israelischen Zivilgerichts mit Bezug auf die güterrechtliche Auseinandersetzung zwischen dem Beschwerdeführer und der Beschwerdegegnerin vor (act. 28 Rz 15). Abgesehen davon verlangte die Bank</w:t>
      </w:r>
    </w:p>
    <w:p>
      <w:r>
        <w:t>- 11 - die fragliche Dokumentation gar nicht, sondern gab vielmehr zu verstehen, sie werde die verlangte Überweisung nur mit Zustimmung des Beschwerdeführers oder nach Anordnung eines zuständigen Schweizer Gerichts vornehmen (vgl. act. 7 Rz 13 sowie act. 4/7, act. 4/9, act. 4/11 und act. 4/17).</w:t>
      </w:r>
    </w:p>
    <w:p>
      <w:r>
        <w:rPr>
          <w:b/>
        </w:rPr>
        <w:t>E. 8</w:t>
      </w:r>
    </w:p>
    <w:p>
      <w:r>
        <w:t>Inwiefern keine klare Rechtslage und kein unbestrittener oder sofort beweis- barer Sachverhalt vorliegen und die Voraussetzungen für einen Rechtsschutz in klaren Fällen nicht gegeben sein sollen (vgl. act. 28 Rz 36), ist nach dem Gesag- ten nicht ersichtlich. Der Beschwerdeführer bringt auch sonst nichts Stichhaltiges vor, was am bislang gewonnenen Ergebnis etwas zu ändern vermöchte. Die Be- schwerde erweist sich nach dem Gesagten insgesamt als (sachlich) unbegründet und ist folglich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