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PF170046 vom 6. Dezember 2017</w:t>
      </w:r>
    </w:p>
    <w:p>
      <w:r>
        <w:t>ZH Obergericht, 2017-12-06, DE</w:t>
      </w:r>
    </w:p>
    <w:p>
      <w:r>
        <w:rPr>
          <w:b/>
        </w:rPr>
        <w:t xml:space="preserve">Quelle: </w:t>
      </w:r>
      <w:r>
        <w:t>https://mcp.opencaselaw.ch/entscheid/zh_obergericht_PF170046</w:t>
      </w:r>
    </w:p>
    <w:p>
      <w:r>
        <w:t>FR: ZH_OBERGERICHT PF170046 du 6 décembre 2017</w:t>
      </w:r>
    </w:p>
    <w:p>
      <w:r>
        <w:t>IT: ZH_OBERGERICHT PF170046 del 6 dicembre 2017</w:t>
      </w:r>
    </w:p>
    <w:p>
      <w:pPr>
        <w:pStyle w:val="Heading2"/>
      </w:pPr>
      <w:r>
        <w:t>Erwägungen</w:t>
      </w:r>
    </w:p>
    <w:p>
      <w:r>
        <w:rPr>
          <w:b/>
        </w:rPr>
        <w:t>E. 1</w:t>
      </w:r>
    </w:p>
    <w:p>
      <w:r>
        <w:t>Die Gesuchstellerin und Beschwerdeführerin (fortan Gesuchstellerin) ist eine im Handelsregister des Kantons Schwyz eingetragene Firma. Sie erbringt im Wesentlichen Dienstleistungen im Bau- und Baunebengewerbe (vgl. act. 7). Mit Eingabe vom 16. Oktober 2017 gelangte die Gesuchstellerin mit folgenden Rechtsbegehren (act. 4/1 S. 1) an das Bezirksgericht Dielsdorf: "1. Das Grundbuchamt C._____ sei anzuweisen, zulasten des Grundstücks in der Gemeinde D._____, Kanton Zürich, Grundbuch/Liegenschaft Nr. 1, Nr. 2, Nr. 3, Nr. 4, zu Gunsten der Gesuchstellerin ein Bauhandwerkerpfandrecht für die Pfandsumme von Fr. 21'158.00 nebst Zins zu 5% seit 25.09.2017 vorläu- fig als Vormerkung einzutragen.</w:t>
      </w:r>
    </w:p>
    <w:p>
      <w:r>
        <w:rPr>
          <w:b/>
        </w:rPr>
        <w:t>E. 2</w:t>
      </w:r>
    </w:p>
    <w:p>
      <w:r>
        <w:t>Im Rahmen von vorsorglichen Massnahmen sei das gemäss Ziffer 1 bean- tragte Bauhandwerkerpfandrecht superprovisorisch einzutragen.</w:t>
      </w:r>
    </w:p>
    <w:p>
      <w:r>
        <w:rPr>
          <w:b/>
        </w:rPr>
        <w:t>E. 3</w:t>
      </w:r>
    </w:p>
    <w:p>
      <w:r>
        <w:t>Der Gesuchstellerin sei eine Frist von 6 Monaten, gerechnet ab Rechtskraft des Befehlsentscheides betreffend vorläufige Vormerkung anzusetzen, um Klage auf definitive Eintragung des Bauhandwerkerpfandrechtes gemäss Zif- fer 1 hiervor zulasten des Grundstückes der Gesuchsgegnerin einzureichen.</w:t>
      </w:r>
    </w:p>
    <w:p>
      <w:r>
        <w:rPr>
          <w:b/>
        </w:rPr>
        <w:t>E. 4</w:t>
      </w:r>
    </w:p>
    <w:p>
      <w:r>
        <w:t>Die Beschwerdeinstanz entscheidet neu, wenn die Sache spruchreif ist (Art. 327 Abs. 3 lit. b ZPO). Das ist mit Blick auf die vorstehenden Erwägungen der Fall: Aufgrund der zu erwartenden Gerichtsgebühren von Fr. 2'500.– für alle vier Verfahren, ist der Kostenvorschuss für das erstinstanzliche Verfahren ES170032 auf Fr. 625.– (= ein Viertel von Fr. 2'500.–) festzusetzen. Der Gesuchstellerin ist die erstmalige Frist zur Leistung des Kostenvor- schusses (in der angepassten Höhe von Fr. 625.–) neu anzusetzen. Im Falle des unbenützten Ablaufs der neu angesetzten ersten Frist hätte die Vorinstanz die Nachfrist im Sinne des Art. 101 Abs. 3 ZPO anzusetzen. Im Übrigen richten sich die Modalitäten der Vorschussleistung nach den Bestimmungen der Vorinstanz in der Verfügung vom 17. Oktober 2017 im Verfahren ES170032. III. 1. Im vorliegenden Fall kann keine Partei als unterliegend betrachtet wer- den: Die Gesuchstellerin obsiegt mit ihrer Beschwerde, und die Beschwerdegeg- nerin wurde mangels Beschwer durch den vorliegenden Entscheid nicht angehört.</w:t>
      </w:r>
    </w:p>
    <w:p>
      <w:r>
        <w:t>- 5 - Im Übrigen erscheint es auch nach Art. 107 Abs. 2 ZPO angemessen, die Kosten auf die Staatskasse zu nehmen. Für das Beschwerdeverfahren sind daher keine Kosten zu erheben. 2. Es wurden keine Anträge auf Zusprechung von Parteientschädigungen gestellt. Daher sind keine Parteientschädigungen zuzusprechen (BGE 139 III 334 E. 4.3). Der Gesuchstellerin könnte vorliegend ohnehin keine Parteientschädigung zugesprochen werden: Die Gesuchs- und Beschwerdegegnerin gilt – wie gesehen – nicht als unterliegend und ein Anspruch auf eine Parteientschädigung gegen- über dem Kanton lässt sich aus der ZPO nicht ableiten (vgl. dazu ZK ZPO-JENNY, 3. Aufl. 2016, Art. 107 N 26; URWYLER, DIKE-Komm-ZPO, 2. Aufl. 2016, Art. 107 N 12).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