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PF140005 vom 6. Februar 2014</w:t>
      </w:r>
    </w:p>
    <w:p>
      <w:r>
        <w:t>ZH Obergericht, 2014-02-06, DE</w:t>
      </w:r>
    </w:p>
    <w:p>
      <w:r>
        <w:rPr>
          <w:b/>
        </w:rPr>
        <w:t xml:space="preserve">Quelle: </w:t>
      </w:r>
      <w:r>
        <w:t>https://mcp.opencaselaw.ch/entscheid/zh_obergericht_PF140005</w:t>
      </w:r>
    </w:p>
    <w:p>
      <w:r>
        <w:t>FR: ZH_OBERGERICHT PF140005 du 6 février 2014</w:t>
      </w:r>
    </w:p>
    <w:p>
      <w:r>
        <w:t>IT: ZH_OBERGERICHT PF140005 del 6 febbraio 2014</w:t>
      </w:r>
    </w:p>
    <w:p>
      <w:pPr>
        <w:pStyle w:val="Heading2"/>
      </w:pPr>
      <w:r>
        <w:t>Erwägungen</w:t>
      </w:r>
    </w:p>
    <w:p>
      <w:r>
        <w:rPr>
          <w:b/>
        </w:rPr>
        <w:t>E. 1</w:t>
      </w:r>
    </w:p>
    <w:p>
      <w:r>
        <w:t>Der Kläger und Beschwerdegegner (nachfolgend Kläger) machte mit Einga- be vom 5. Juli 2012 beim Bezirksgericht Zürich ein Verfahren betreffend vorsorgli- che Beweisführung anhängig. Gesuchsgegner waren ursprünglich 6 Parteien (act. 1). Mit Verfügung vom 6. November 2012 hiess das Einzelgericht das Ge- such gut und ordnete das Gutachten an (act. 34a). Nach Eingang des Gutachtens vom 11. April 2011 (act. 40) bzw. des Ergänzungsgutachtens vom 27. Mai 2013 (act. 56) schrieb das Einzelgericht das Verfahren mit Verfügung vom 26. Juni 2013 ab (act. 61 = act. 70 = act. 72). Die Kosten- und Entschädigungsfolgen re- gelte es wie folgt (act. 72 S. 4): "2. Die Entscheidgebühr von Fr. 4'000.00 wird zur Hälfte dem Kläger und unter solidarischer Haftbarkeit für die andere Hälfte zu je ei- nem Sechstel den Beklagten 1, 2 und 4 auferlegt und aus dem vom Kläger geleisteten Vorschuss bezogen; dem Kläger wird im Umfang von Fr. 2'000.00 ein Rückgriffsrecht gegenüber den Be- klagten 1, 2 und 4, unter solidarischer Haftbarkeit, eingeräumt. Die Kosten für das Gutachten von Fr. 10'010.50 werden dem Klä- ger auferlegt. Die geleisteten Vorschüsse werden angerechnet. Vorbehalten bleibt ein Entscheid des Gerichts im ordentlichen Verfahren, der die beklagten Parteien zum Ersatz verpflichtet."</w:t>
      </w:r>
    </w:p>
    <w:p>
      <w:r>
        <w:rPr>
          <w:b/>
        </w:rPr>
        <w:t>E. 3</w:t>
      </w:r>
    </w:p>
    <w:p>
      <w:r>
        <w:t>Die Beklagte 1 beantragte beim Einzelgericht eine Parteientschädigung in der Höhe von Fr. 7'795.45 (inkl. Barauslagen, inkl. MWSt; act. 58). Grundlage für die Festsetzung der Gebühr bilden der Streitwert bzw. Interessenwert, die Ver- antwortung und der notwendige Zeitaufwand der Anwältin oder des Anwalts sowie die Schwierigkeit des Falles (§ 2 AnwGebV). Das Einzelgericht schätzte den Streitwert auf Fr. 50'000.– (act. 21a). Die Grundgebühr beträgt demnach Fr. 7'000.– (vgl. § 4 Abs. 1 AnwGebV). Im summarischen Verfahren wird die Ge- bühr in der Regel auf zwei Drittel bis einen Fünftel ermässigt (§ 9 AnwGebV). Bei einer Kürzung um einen Drittel ergibt dies rund Fr. 4'700.–. Zuschläge oder Re- duktionen (§ 11 AnwGebV) sind nicht vorzunehmen (vgl. auch act. 58). Die Par- teientschädigung für das erstinstanzliche Verfahren ist somit auf Fr. 4'700.– zu- züglich Fr. 152.– Barauslagen auf Fr. 4'852.– und 8 % MWSt festzusetzen. Das ergibt eine zu leistende Parteientschädigung von insgesamt Fr. 5'240.–.</w:t>
      </w:r>
    </w:p>
    <w:p>
      <w:r>
        <w:rPr>
          <w:b/>
        </w:rPr>
        <w:t>E. 4</w:t>
      </w:r>
    </w:p>
    <w:p>
      <w:r>
        <w:t>Für das Beschwerdeverfahren mit der Geschäfts-Nr. PF130022 werden kei- ne Parteientschädigungen zugesprochen.</w:t>
      </w:r>
    </w:p>
    <w:p>
      <w:r>
        <w:rPr>
          <w:b/>
        </w:rPr>
        <w:t>E. 5</w:t>
      </w:r>
    </w:p>
    <w:p>
      <w:r>
        <w:t>Für dieses Urteil werden keine Kosten festgesetzt und keine Parteientschä- digungen zugesprochen.</w:t>
      </w:r>
    </w:p>
    <w:p>
      <w:r>
        <w:rPr>
          <w:b/>
        </w:rPr>
        <w:t>E. 6</w:t>
      </w:r>
    </w:p>
    <w:p>
      <w:r>
        <w:t>Schriftliche Mitteilung an die Parteien, je gegen Empfangsschein. Die erstinstanzlichen Akten gehen nach unbenütztem Ablauf der Rechtsmit- telfrist an die Vorinstanz zurück.</w:t>
      </w:r>
    </w:p>
    <w:p>
      <w:r>
        <w:t>- 5 -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8'460.–.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