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PF130040 vom 17. September 2013</w:t>
      </w:r>
    </w:p>
    <w:p>
      <w:r>
        <w:t>ZH Obergericht, 2013-09-17, DE</w:t>
      </w:r>
    </w:p>
    <w:p>
      <w:r>
        <w:rPr>
          <w:b/>
        </w:rPr>
        <w:t xml:space="preserve">Quelle: </w:t>
      </w:r>
      <w:r>
        <w:t>https://mcp.opencaselaw.ch/entscheid/zh_obergericht_PF130040</w:t>
      </w:r>
    </w:p>
    <w:p>
      <w:r>
        <w:t>FR: ZH_OBERGERICHT PF130040 du 17 septembre 2013</w:t>
      </w:r>
    </w:p>
    <w:p>
      <w:r>
        <w:t>IT: ZH_OBERGERICHT PF130040 del 17 settembre 2013</w:t>
      </w:r>
    </w:p>
    <w:p>
      <w:pPr>
        <w:pStyle w:val="Heading2"/>
      </w:pPr>
      <w:r>
        <w:t>Erwägungen</w:t>
      </w:r>
    </w:p>
    <w:p>
      <w:r>
        <w:rPr>
          <w:b/>
        </w:rPr>
        <w:t>E. 1</w:t>
      </w:r>
    </w:p>
    <w:p>
      <w:r>
        <w:t>Mit Urteil vom 7. August 2013 hiess das Einzelgericht des Bezirksgerichtes Dietikon das Ausweisungsbegehren der C._____ Anlagestiftung (nachfol- gend Beschwerdegegnerin) gut und verpflichtete A._____ und B._____ (nachfolgend Beschwerdeführer) die 4½-Zimmer-Wohnung …, … OG, an der D._____-Strasse ... in E._____, unverzüglich zu räumen und der Be- schwerdegegnerin ordnungsgemäss zu übergeben, unter Androhung der Zwangsvollstreckung im Unterlassungsfall (Urk. 11 S. 5 Dispositiv-Ziffer 1). Die Entscheidgebühr von Fr. 1'200.- wurde A._____ und B._____ je zur Hälfte auferlegt unter solidarischer Haftung für den ganzen Betrag, jedoch mit dem von der Beschwerdegegnerin geleisteten Kostenvorschuss in der Höhe von Fr. 1'200.- verrechnet. Die Beschwerdeführer wurden zu gleichen Teilen verpflichtet, der Beschwerdegegnerin diesen Betrag zu ersetzen, un- ter solidarischer Haftung für den ganzen Betrag (Urk. 11 S. 5 Dispositiv- Ziffer 4). Ferner wurden die Beschwerdeführer zu gleichen Teilen verpflich- tet, der Beschwerdegegnerin eine Parteientschädigung von Fr. 200.- zu be- zahlen, unter solidarischer Haftung für den ganzen Betrag (Urk. 11 S. 5 Dis- positiv-Ziffer 5).</w:t>
      </w:r>
    </w:p>
    <w:p>
      <w:r>
        <w:rPr>
          <w:b/>
        </w:rPr>
        <w:t>E. 2</w:t>
      </w:r>
    </w:p>
    <w:p>
      <w:r>
        <w:t>Mit Beschwerde vom 28. August 2013 (Datum Poststempel) fochten A._____ und B._____ diesen Entscheid an (Urk. 12). Einen konkreten An- trag stellten die Beschwerdeführer nicht. Sinngemäss ergibt sich aber aus ihren Ausführungen, dass sie die Kosten- und Entschädigungsfolgen anfech- ten wollen (Urk. 12 S. 2). Sie machten nämlich geltend, das Ausweisungs- verfahren sei gar nicht nötig gewesen. Die Wohnungsübergabe hätte am Freitag stattfinden sollen. Da sie (A._____) und ihr Mann (B._____) alleine den Haushalt packen und zügeln und ausserdem die fünf Kinder versorgen mussten, seien sie nicht fertig gewesen, als Herr F._____ eingetroffen sei. Es hätten aber nur noch ein paar kleine Sachen im Gang vor der Tür ge- standen. Sie hätten Herrn F._____ gebeten, den Abgabetermin auf Montag</w:t>
      </w:r>
    </w:p>
    <w:p>
      <w:r>
        <w:t>- 3 - zu verschieben, was er nicht bewilligt habe. Er habe ihnen gesagt, er gehe jetzt in sein Büro und beantrage die Zwangsräumung. Sie hätten am Sams- tag, den 8. Juni 2013 die Wohnung geputzt. Zweimal hätten sie versucht die Schlüssel per Post der Vermieterin zuzustellen und jedes Mal sei die Sen- dung zurückgekommen. Sie hätten deshalb vor, bei der Vermieterin vorbei- zugehen und die Schlüssel abzugeben. Ihrer Meinung nach habe Herr F._____ keinen Grund gehabt, eine Zwangsräumung zu beantragen. Wegen zwei Tagen gehe die Welt nicht unter. Da sie seit dem 7. Juni 2013 nicht mehr dort wohnten, seien sie nicht bereit, die Gerichtskosten der Beschwer- degegnerin zu ersetzen bzw. ihr eine Parteientschädigung zu bezahlen (Urk. 12 S. 1-2 sinngemäss).</w:t>
      </w:r>
    </w:p>
    <w:p>
      <w:r>
        <w:rPr>
          <w:b/>
        </w:rPr>
        <w:t>E. 3</w:t>
      </w:r>
    </w:p>
    <w:p>
      <w:r>
        <w:t>Die Kläger sind berechtigt, das Mietobjekt jederzeit auf ein Monatsende hin zu verlassen unter Voranzeige des Auszuges von 14 Tagen. Mit dem letzten Tag des Monats endet dann auch die Pflicht zur Zahlung des Miet- zinses und der Nebenkosten.</w:t>
      </w:r>
    </w:p>
    <w:p>
      <w:r>
        <w:rPr>
          <w:b/>
        </w:rPr>
        <w:t>E. 4</w:t>
      </w:r>
    </w:p>
    <w:p>
      <w:r>
        <w:t>Für die Dauer der Erstreckung gelten die Bedingungen des laufenden Mietvertrages weiter. Die Wohnung darf nicht untervermietet werden.</w:t>
      </w:r>
    </w:p>
    <w:p>
      <w:r>
        <w:rPr>
          <w:b/>
        </w:rPr>
        <w:t>E. 5</w:t>
      </w:r>
    </w:p>
    <w:p>
      <w:r>
        <w:t>Die Kläger reichen diese Vereinbarung umgehend der Schlichtungsbe- hörde ein mit dem Begehren um Abnahme der Ladungen für die Verhand- lung vom 18. Oktober 2012 und Abschreibung des Verfahrens zufolge Ver- gleichs." In der Folge erstreckte die Beschwerdegegnerin das Mietverhältnis am 31. Mai 2013 "einmalig und in Kulanz" bis zum 7. Juni 2013 8:30 Uhr (Urk. 2/7). In diesem Schreiben wurden die Beschwerdeführer darauf hingewie- sen, dass bei Nichteinhaltung der Frist das amtliche Ausweisungsverfahren eingeleitet werde. Am 13. Juni 2013 ging bei der Vorinstanz das Auswei- sungsbegehren der Beschwerdegegnerin ein (Urk. 1).</w:t>
      </w:r>
    </w:p>
    <w:p>
      <w:r>
        <w:t>- 5 - c) Die Beschwerdeführer bestreiten nicht, dass sie am 7. Juni 2013, als Herr F._____ vorbei kam, die Wohnung noch nicht geputzt und vollständig ge- räumt hatten. Die Wohnungsabgabe konnte demnach nicht fristgerecht am</w:t>
      </w:r>
    </w:p>
    <w:p>
      <w:r>
        <w:rPr>
          <w:b/>
        </w:rPr>
        <w:t>E. 7</w:t>
      </w:r>
    </w:p>
    <w:p>
      <w:r>
        <w:t>Juni 2013, 8:30 Uhr, stattfinden. Die Beschwerdeführer hatten keine Be- rechtigung, sich länger als bis zum 7. Juni 2013 in der Wohnung aufzuhal- ten. Die Schlüsselübergabe hätte am 7. Juni 2013 erfolgen müssen. Die Be- schwerdegegnerin hat deshalb zu Recht den Rechtsweg beschritten und ein Ausweisungsverfahren angestrebt. Das Gericht hat einen Entscheid gefällt und zufolge der Gutheissung des Ausweisungsbegehrens den Beschwerde- führern gestützt auf Art. 106 Abs. 1 ZPO die Kosten auferlegt. Es liegen kei- ne besonderen Umstände vor, die aufgrund der Billigkeit eine andere Kos- tenverteilung rechtfertigen würden. Insbesondere ist davon auszugehen, dass die Beschwerdeführer der Vorinstanz entgegen ihrer Behauptung in der Beschwerde nicht mitgeteilt hatten, dass sie die Wohnung am 8. Juni 2013 geräumt hatten, liegt doch kein entsprechendes Schreiben bei den Ak- ten. Zudem sind sie der Hauptverhandlung vom 7. August 2012 unentschul- digt ferngeblieben (Prot. I S. 5). Es hat deshalb bei der vorinstanzlichen Kos- ten- und Entschädigungsregelung zu bleiben. Die kostenpflichtige Partei, vorliegend die Beschwerdeführer, haben der anderen Partei den geleisteten Vorschuss zu ersetzen sowie die zugesprochene Parteientschädigung zu bezahlen (Art. 111 Abs. 2 ZPO). 4. Da die Beschwerdeführer die Höhe der Entschädigung und der Gerichtsge- bühr nicht angefochten haben, sind diese auf ihre Angemessenheit nicht zu überprüfen. 5. Die Beschwerde ist abzuweisen. 6. Ausgangsgemäss haben die Beschwerdeführer die Kosten für das Rechts- mittelverfahren zu tragen (Art. 106 Abs. 1 ZPO). Grundlage für die Festset- zung der Gerichtskosten bilden der Streitwert bzw. das tatsächliche Streitin- teresse, der Zeitaufwand des Gerichts und die Schwierigkeit des Falls (§ 2 Abs. 1 GebV OG). In zweiter Instanz wird die Entscheidgebühr nach Mass- gabe dessen, was vor der Rechtsmittelinstanz noch im Streit liegt, bestimmt</w:t>
      </w:r>
    </w:p>
    <w:p>
      <w:r>
        <w:t>- 6 - (§ 12 Abs. 2 GebV OG). Vorliegend beträgt der Streitwert Fr. 1'400.- (Fr. 1'200.- Entscheidgebühr zuzügl. Fr. 200.- Parteientschädigung). In An- wendung von §§ 4 Abs. 1, 8 Abs. 1 und 12 Abs. 1 und 2 GebV OG ist die Entscheidgebühr für das Beschwerdeverfahren auf Fr. 250.- festzulegen. Mangels Umtrieben ist der Beschwerdegegnerin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