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PF110044 vom 15. September 2011</w:t>
      </w:r>
    </w:p>
    <w:p>
      <w:r>
        <w:t>ZH Obergericht, 2011-09-15, DE</w:t>
      </w:r>
    </w:p>
    <w:p>
      <w:r>
        <w:rPr>
          <w:b/>
        </w:rPr>
        <w:t xml:space="preserve">Quelle: </w:t>
      </w:r>
      <w:r>
        <w:t>https://mcp.opencaselaw.ch/entscheid/zh_obergericht_PF110044</w:t>
      </w:r>
    </w:p>
    <w:p>
      <w:r>
        <w:t>FR: ZH_OBERGERICHT PF110044 du 15 septembre 2011</w:t>
      </w:r>
    </w:p>
    <w:p>
      <w:r>
        <w:t>IT: ZH_OBERGERICHT PF110044 del 15 settembre 2011</w:t>
      </w:r>
    </w:p>
    <w:p>
      <w:pPr>
        <w:pStyle w:val="Heading2"/>
      </w:pPr>
      <w:r>
        <w:t>Erwägungen</w:t>
      </w:r>
    </w:p>
    <w:p>
      <w:r>
        <w:rPr>
          <w:b/>
        </w:rPr>
        <w:t>E. 1</w:t>
      </w:r>
    </w:p>
    <w:p>
      <w:r>
        <w:t>Am 24. Juni 2010 verstarb B._____ in C._____ und hinterliess als ge- setzlichen Erben neben anderen A._____ (fortan Beschwerdeführer; act. 9/2/2 und Verfügung vom 15. Februar 2011 in act. 9/2). Mit Urteil vom 23. August 2011 nahm das Einzelgericht in Erbschaftssachen des Bezirkes Zürich die Ausschla- gungserklärungen des Beschwerdeführers sowie von seinem Sohn D._____ vom 10. Mai 2011 zu Protokoll und auferlegte diesen die Gerichtskosten von Fr. 271.-- je zur Hälfte (act. 11).</w:t>
      </w:r>
    </w:p>
    <w:p>
      <w:r>
        <w:rPr>
          <w:b/>
        </w:rPr>
        <w:t>E. 2</w:t>
      </w:r>
    </w:p>
    <w:p>
      <w:r>
        <w:t>Gegen dieses Urteil erhob der Beschwerdeführer fristgerecht Berufung und erklärte im Wesentlichen, er habe das Erbe ausgeschlagen, um Unkosten zu vermeiden, und jetzt werde er mit einer Unkostenrechnung bestraft, die er nicht bestellt und schon gar nicht verursacht habe (act. 12). Damit rügt er die erstin- stanzliche Kostenauflage, weshalb seine Eingabe als Kostenbeschwerde im Sin- ne von Art. 110 ZPO entgegen genommen wurde. Denn für die Anfechtung einzig der Kostenregelung sieht das Gesetz unabhängig von der Höhe der beanstande- ten Kosten ausschliesslich die Beschwerde vor.</w:t>
      </w:r>
    </w:p>
    <w:p>
      <w:r>
        <w:rPr>
          <w:b/>
        </w:rPr>
        <w:t>E. 3</w:t>
      </w:r>
    </w:p>
    <w:p>
      <w:r>
        <w:t>Zu den Kosten in der so genannten freiwilligen Gerichtsbarkeit, zu der auch die Protokollierung der Erbausschlagung zählt, enthält das Gesetz keine ei- gene Vorschrift mehr. Die zürcherische Zivilprozessordnung hatte bestimmt, in Verfahren auf einseitiges Vorbringen trage in der Regel der Antragsteller die Ge- richtskosten (§ 211 Abs. 2 ZPO/ZH). Das neue eidgenössische Prozessrecht, in Kraft seit 1. Januar 2011, geht weiter: Als Folge der allgemeinen Vorschusspflicht des Klägers oder Antragstellers für die Gerichtskosten (Art. 98 ZPO) - vorliegend wurde nur ausnahmsweise aus Gründen der Prozessökonomie von der Einholung eines Vorschusses abgesehen - trägt, wer immer eine gerichtliche Instanz anruft, vorerst einmal die Kosten (Art. 111 Abs. 1 ZPO). Gibt es eine Gegenpartei, kann er allenfalls auf diese Rückgriff nehmen (Art. 111 Abs. 2 ZPO). Im Verfahren auf einseitiges Vorbringen kommt ein solcher Rückgriff nicht in Frage und bleibt es daher auch nach neuem Recht dabei, dass der Kläger oder Antragsteller die Kos- ten zu tragen hat. Dies erscheint durchaus gerechtfertigt, hat doch der ausschla-</w:t>
      </w:r>
    </w:p>
    <w:p>
      <w:r>
        <w:t>- 3 - gende Erbe im eigenen Interesse, etwa um der gesetzlichen Haftung für allfällige Schulden des Erblassers zu entgehen, die Behörden angerufen und zu handeln veranlasst. Damit erweist sich die Beschwerde als unbegründet und ist abzuweisen.</w:t>
      </w:r>
    </w:p>
    <w:p>
      <w:r>
        <w:rPr>
          <w:b/>
        </w:rPr>
        <w:t>E. 4</w:t>
      </w:r>
    </w:p>
    <w:p>
      <w:r>
        <w:t>Ausgangsgemäss wird der Beschwerdeführer für das zweitinstanzliche Verfahren kostenpflichtig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