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PF110013 vom 21. Juni 2011</w:t>
      </w:r>
    </w:p>
    <w:p>
      <w:r>
        <w:t>ZH Obergericht, 2011-06-21, DE</w:t>
      </w:r>
    </w:p>
    <w:p>
      <w:r>
        <w:rPr>
          <w:b/>
        </w:rPr>
        <w:t xml:space="preserve">Quelle: </w:t>
      </w:r>
      <w:r>
        <w:t>https://mcp.opencaselaw.ch/entscheid/zh_obergericht_PF110013</w:t>
      </w:r>
    </w:p>
    <w:p>
      <w:r>
        <w:t>FR: ZH_OBERGERICHT PF110013 du 21 juin 2011</w:t>
      </w:r>
    </w:p>
    <w:p>
      <w:r>
        <w:t>IT: ZH_OBERGERICHT PF110013 del 21 giugno 2011</w:t>
      </w:r>
    </w:p>
    <w:p>
      <w:pPr>
        <w:pStyle w:val="Heading2"/>
      </w:pPr>
      <w:r>
        <w:t>Erwägungen</w:t>
      </w:r>
    </w:p>
    <w:p>
      <w:r>
        <w:rPr>
          <w:b/>
        </w:rPr>
        <w:t>E. 2</w:t>
      </w:r>
    </w:p>
    <w:p>
      <w:r>
        <w:t>Im vorliegenden Fall der Anfechtung der Höhe der Gerichtsgebühr kommt grundsätzlich, wie von der Beschwerdeführerin beantragt, ein Sachent- scheid der Beschwerdeinstanz in Betracht. Zum Inhalt der Beschwerdeschrift ge- hört deshalb ein Antrag in der Sache, der bei Gutheissung der Beschwerde zum Entscheid erhoben werden kann. Dieser Anforderung genügt der Antrag der Be- schwerdeführerin auf Ansetzung einer "angemessenen" Gerichtsgebühr nicht. Ein in Geld ausdrückbarer Antrag muss beziffert werden. Zumindest muss sich der nach Auffassung der Beschwerdeführerin angemessene Betrag aus der Be- schwerdebegründung ergeben.</w:t>
      </w:r>
    </w:p>
    <w:p>
      <w:r>
        <w:rPr>
          <w:b/>
        </w:rPr>
        <w:t>E. 3</w:t>
      </w:r>
    </w:p>
    <w:p>
      <w:r>
        <w:t>Für den Fall, dass ein bezifferter Antrag als erforderlich betrachtet werde, beantragt die Beschwerdeführerin, ihr zur Bezifferung Frist anzusetzen. Art. 132 Abs. 1 ZPO sieht vor, dass Mängel einer Eingabe wie feh- lende Unterschrift und fehlende Vollmacht innert einer gerichtlichen Nachfrist ver- bessert werden können; Gleiches gilt für unleserliche, ungebührliche, unverständ- liche oder weitschweifige Eingaben (Art. 132 Abs. 2 ZPO). In diese Mängelkate- gorie fällt die mangelnde Bezifferung des Rechtsmittelantrages nicht. Art. 56 ZPO weist das Gericht an, einer Partei durch entsprechende Fragen Gelegenheit zur Klarstellung und zur Ergänzung zu geben, wenn ihr Vor- bringen unklar, widersprüchlich, unbestimmt oder "offensichtlich unvollständig" ist. Wie weit sich die richterliche Fragepflicht auf unzulängliche Anträge bezieht, braucht nicht erörtert zu werden (vgl. I. Meier, Schweizerisches Zivilprozessrecht, Zürich 2010, § 51/V/2 S. 395 f.; Staehelin/Staehelin/Grolimund, Zivilprozessrecht, Zürich 2008, § 10 Rz. 22; Daniel Glasl, DIKE-Komm-ZPO, Art. 56 N 19). Die Be- schwerdeführerin ist anwaltlich vertreten, und ihr Anwalt hat die Bezifferung des Beschwerdeantrages bewusst unterlassen. Die richterliche Fragepflicht dient nicht dazu, Auswirkungen bewussten Verhaltens einer Partei rückgängig zu machen, wo sich dieses nachträglich als nachteilig auswirkt (vgl. BGer 5P.147/2001 vom 30. August 2001, Erw. 2/a/cc; Sutter-Somm/von Arx, in: Sutter-Somm/Hasenböh- ler/Leuenberger, ZPO Komm., Art. 56 N 16).</w:t>
      </w:r>
    </w:p>
    <w:p>
      <w:r>
        <w:rPr>
          <w:b/>
        </w:rPr>
        <w:t>E. 4</w:t>
      </w:r>
    </w:p>
    <w:p>
      <w:r>
        <w:t>Da sich der unbezifferte Antrag der Beschwerdeführerin als unzuläs- sig erweist, ist auf die Beschwerde nicht einzutreten. Ausgangsgemäss wird die Beschwerdeführerin für das Rechtsmittelverfahren kostenpflichtig. Eine Parteient- schädigung ist der Gegenpartei nicht zuzusprechen. Obergericht, II. Zivilkammer Beschluss vom 21. Juni 2011 Geschäfts-Nr.: PF110013-O/U vgl. auch BGer 4D_61/2011 vom 26. Okt.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