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PE220007 vom 7. Oktober 2022</w:t>
      </w:r>
    </w:p>
    <w:p>
      <w:r>
        <w:t>ZH Obergericht, 2022-10-07, DE</w:t>
      </w:r>
    </w:p>
    <w:p>
      <w:r>
        <w:rPr>
          <w:b/>
        </w:rPr>
        <w:t xml:space="preserve">Quelle: </w:t>
      </w:r>
      <w:r>
        <w:t>https://mcp.opencaselaw.ch/entscheid/zh_obergericht_PE220007</w:t>
      </w:r>
    </w:p>
    <w:p>
      <w:r>
        <w:t>FR: ZH_OBERGERICHT PE220007 du 7 octobre 2022</w:t>
      </w:r>
    </w:p>
    <w:p>
      <w:r>
        <w:t>IT: ZH_OBERGERICHT PE220007 del 7 ottobre 2022</w:t>
      </w:r>
    </w:p>
    <w:p>
      <w:pPr>
        <w:pStyle w:val="Heading2"/>
      </w:pPr>
      <w:r>
        <w:t>Erwägungen</w:t>
      </w:r>
    </w:p>
    <w:p>
      <w:r>
        <w:rPr>
          <w:b/>
        </w:rPr>
        <w:t>E. 1</w:t>
      </w:r>
    </w:p>
    <w:p>
      <w:r>
        <w:t>Mit Eingabe vom 1. November 2021 reichte die Klägerin und Beschwerde- führerin (fortan Klägerin) eine negative Feststellungsklage gemäss Art. 85a SchKG beim Bezirksgericht Uster (Vorinstanz) ein (Urk. 6/1). Mit Verfügung vom 19. Januar 2022 wurde der Klägerin eine Frist zur Zahlung eines Gerichtskosten- vorschusses in der Höhe von Fr. 18'750.– angesetzt (Urk. 6/15 resp. Urk. 6/18). Auf die von der Klägerin gegen diese Verfügung erhobene Beschwerde trat das Obergericht des Kantons Zürich mit Beschluss vom 11. Mai 2022 nicht ein (Urk. 6/24). Daneben ersuchte die Klägerin mit Eingabe vom 19. April 2022 um Sistierung des Verfahrens (Urk. 6/23). In der Folge erliess die Vorinstanz die nachfolgende Verfügung (Urk. 6/25 S. 4 f. = Urk. 3 S. 4 f.): "1. Der Klägerin wird eine letztmalige, nicht erstreckbare Frist von 7 Tagen ab Zustellung dieser Verfügung angesetzt, um für die sie allenfalls tref- fenden Gerichtskosten bei der Bezirksgerichtskasse Uster (Postkonto 1, lautend auf Bezirksgerichtskanzlei, 8610 Uster, Zahlungszweck: "Ge- schäfts-Nr.: FO210002-I", IBAN: CH2) einen Kostenvorschuss von Fr. 18'750.– zu leisten. Sofern für die Einzahlung des Kostenvorschusses nicht der beiliegende Einzahlungsschein verwendet wird, ist als Zahlungszweck zwingend die "Geschäfts-Nr.: FO210002-I" anzugeben. Im Säumnisfall wird auf die Klage vom 1. November 2021 nicht eingetre- ten.</w:t>
      </w:r>
    </w:p>
    <w:p>
      <w:r>
        <w:rPr>
          <w:b/>
        </w:rPr>
        <w:t>E. 1.2</w:t>
      </w:r>
    </w:p>
    <w:p>
      <w:r>
        <w:t>Hiergegen erhob die Klägerin mit Eingabe vom 2. September 2022 (Datum der Entgegennahme bei der Schweizerischen Botschaft in C._____ [Staat in Eu- ropa]; Urk. 2) innert Frist (vgl. Art. 321 Abs. 2 und Art. 142 f. ZPO sowie Urk. 6/26) Beschwerde mit den nachfolgenden Anträgen (Urk. 1): "1. Der Verfügung des Bezirksgericht Zürich vom 25.8.2022 FO 210 002 sei vollumfänglich aufzuheben und auf das Sistierungsgesuch einzutreten: 2. Eventuell sei für den Kostenvorschuss von CHF 18'750.– aufschiebende Wirkung zu erteilen;</w:t>
      </w:r>
    </w:p>
    <w:p>
      <w:r>
        <w:t>- 3 - 3. Im Verfahren beim Obergerichts sei unentgeltliche Rechtspflege zu ge- nehmigen."</w:t>
      </w:r>
    </w:p>
    <w:p>
      <w:r>
        <w:rPr>
          <w:b/>
        </w:rPr>
        <w:t>E. 1.3</w:t>
      </w:r>
    </w:p>
    <w:p>
      <w:r>
        <w:t>Die vorinstanzlichen Akten wurden beigezogen (Urk. 6/1-26). Da sich die Beschwerde sogleich als unbegründet bzw. unzulässig erweist, kann auf die Ein- holung einer Beschwerdeantwort verzichtet werden (Art. 322 Abs. 1 ZPO). 2.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Neue Anträge, neue Tatsachenbehauptungen und neue Beweismittel sind im Beschwerdeverfahren ausgeschlossen (Novenverbot, vgl. Art. 326 Abs. 1 ZPO).</w:t>
      </w:r>
    </w:p>
    <w:p>
      <w:r>
        <w:rPr>
          <w:b/>
        </w:rPr>
        <w:t>E. 2</w:t>
      </w:r>
    </w:p>
    <w:p>
      <w:r>
        <w:t>Das Sistierungsgesuch der Klägerin wird abgewiesen.</w:t>
      </w:r>
    </w:p>
    <w:p>
      <w:r>
        <w:rPr>
          <w:b/>
        </w:rPr>
        <w:t>E. 3</w:t>
      </w:r>
    </w:p>
    <w:p>
      <w:r>
        <w:t>[Mitteilungssatz]</w:t>
      </w:r>
    </w:p>
    <w:p>
      <w:r>
        <w:rPr>
          <w:b/>
        </w:rPr>
        <w:t>E. 3.1</w:t>
      </w:r>
    </w:p>
    <w:p>
      <w:r>
        <w:t>Betreffend die Abweisung des Sistierungsgesuchs der Klägerin führte die Vorinstanz im Wesentlichen aus, die Klägerin ersuche um Sistierung des Verfah- rens, da ihr Ehemann als Hauptintervenient in den Prozess interveniere. Dieser habe am 7. März 2022 eine Feststellungsklage im Sinne einer Hauptintervention zum vorliegenden Verfahren eingereicht (Geschäfts-Nr. FO220004-I), in welcher er unter anderem beantrage, es sei festzustellen, dass er Eigentümer der Liegen- schaft im Grundbuch Blatt 3, Stockwerkeigentum, an der D._____-strasse 4, … E._____, im Obergeschoss, am Keller Nr. 5 und an der Waschküche 6 im Unter- geschoss, sowie Grundbuch Blatt 7, Miteigentumsanteil 1/100, Miteigentum Au- toeinstellplatz, in E._____ sei. Der Streitgegenstand des Verfahrens sei eine Dar- lehensforderung in der Höhe von Fr. 400'000.– nebst Zins zu 5 % seit 18. März</w:t>
      </w:r>
    </w:p>
    <w:p>
      <w:r>
        <w:t>- 4 - 2011. Folglich sei zur Hauptintervention einzig berechtigt, wer ein besseres Recht an dieser umstrittenen Darlehensforderung geltend mache. Unerheblich sei eine allfällige Eigentümerstellung des Ehemannes an einer Liegenschaft oder der Be- stand oder Nichtbestand eines Pfandrechts. Angesichts dieser Aktenlage erschei- ne die Hauptintervention aus heutiger Sicht nicht erfolgsversprechend, weshalb es nicht angezeigt sei, das vorliegende Verfahren zu sistieren oder zu vereinigen. Demnach sei das Sistierungsgesuch der Klägerin abzuweisen (Urk. 3 S. 3 f.).</w:t>
      </w:r>
    </w:p>
    <w:p>
      <w:r>
        <w:rPr>
          <w:b/>
        </w:rPr>
        <w:t>E. 3.2</w:t>
      </w:r>
    </w:p>
    <w:p>
      <w:r>
        <w:t>In Bezug auf die Abweisung der Sistierung genügt die Beschwerdeschrift der Klägerin den oben genannten Anforderungen nicht. Zunächst ist hervorzuheben, dass es sich bei ihren Ausführungen praktisch ausschliesslich um neue Tatsa- chenbehauptungen handelt. So beschränkte sich die Begründung ihres Sistie- rungsgesuch vor Vorinstanz auf den Hinweis, dass ihr Ehemann in den Prozess als Hauptintervenient interveniert habe (vgl. Urk. 6/23). Auf diese Begründung ging die Vorinstanz denn auch ein (s. oben Erw. 3.1). Die (neuen) Schilderungen der Klägerin zum Inhalt und den Erfolgsaussichten des Gesuchs des Hauptinter- venienten im Verfahren mit der Geschäfts-Nr. FO220004-I sind im Beschwerde- verfahren ausgeschlossen und nicht zu berücksichtigen (Art. 326 Abs. 1 ZPO; Urk. 1 S. 1 f.). Gleiches gilt für den erstmals im Beschwerdeverfahren eingereich- ten Kaufvertrag vom 3. Mai 2010 (Urk. 4). Sodann ist die Verweigerung einer be- antragten Sistierung lediglich im Rahmen von Art. 319 lit. b Ziff. 2 anfechtbar, d.h. bei Vorliegen eines nicht leicht wiedergutzumachenden Nachteils (BGer 5D_182/2015 vom 2. Februar 2016 E. 1.3 m.H.a: Kaufmann, DIKE-Komm-ZPO Art. 126 N 17; ZK ZPO-Staehelin, Art. 126 N 8; BK ZPO I-Frei, Art. 126 N 22; KU- KO ZPO-Weber, Art. 126 N 14; BSK ZPO-Gschwend, Art. 126 N 17a). Das Vor- liegen eines solchen Nachteils kann die Klägerin in ihrer Beschwerdeschrift im Übrigen nicht darlegen, weshalb diesbezüglich die Beschwerde, soweit auf sie einzutreten ist, abzuweisen ist.</w:t>
      </w:r>
    </w:p>
    <w:p>
      <w:r>
        <w:rPr>
          <w:b/>
        </w:rPr>
        <w:t>E. 4</w:t>
      </w:r>
    </w:p>
    <w:p>
      <w:r>
        <w:t>Die Klägerin stellt zwar einen Beschwerdeantrag in Bezug auf die von der Vorinstanz angesetzte Nachfrist zur Zahlung eines Kostenvorschusses (Urk. 1 S. 1), eine Begründung für diesen Antrag findet sich in der Beschwerdeschrift hin-</w:t>
      </w:r>
    </w:p>
    <w:p>
      <w:r>
        <w:t>- 5 - gegen nicht. Mangels Begründung ist auf die Beschwerde in diesem Punkt nicht einzutreten. 5.1 Die Entscheidgebühr für das Beschwerdeverfahren ist in Anwendung von § 4 Abs. 1 und 2, § 9 Abs. 1 und § 12 Abs. 1 und 2 GebV OG auf Fr. 1'000.– fest- zusetzen. Die Gerichtskosten sind ausgangsgemäss der Klägerin aufzuerlegen (Art. 106 Abs. 1 ZPO). 5.2 Die Klägerin hat ein Gesuch um unentgeltliche Rechtspflege für das Be- schwerdeverfahren gestellt (Urk. 1 S. 1). Dieses ist jedoch zufolge Aussichtslosig- keit der Beschwerde (vgl. vorstehende Erwägungen) abzuweisen (Art. 117 lit. b ZPO). 5.3 Parteientschädigungen sind für das Beschwerdeverfahren keine zuzuspre- chen (Art. 95 Abs. 3 ZPO,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