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PE190015 vom 24. Juni 2019</w:t>
      </w:r>
    </w:p>
    <w:p>
      <w:r>
        <w:t>ZH Obergericht, 2019-06-24, DE</w:t>
      </w:r>
    </w:p>
    <w:p>
      <w:r>
        <w:rPr>
          <w:b/>
        </w:rPr>
        <w:t xml:space="preserve">Quelle: </w:t>
      </w:r>
      <w:r>
        <w:t>https://mcp.opencaselaw.ch/entscheid/zh_obergericht_PE190015</w:t>
      </w:r>
    </w:p>
    <w:p>
      <w:r>
        <w:t>FR: ZH_OBERGERICHT PE190015 du 24 juin 2019</w:t>
      </w:r>
    </w:p>
    <w:p>
      <w:r>
        <w:t>IT: ZH_OBERGERICHT PE190015 del 24 giugno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Mit Eingabe vom 26. Mai 2017 reichte die Revisionsklägerin beim Bezirksgericht Uster eine negative Feststellungsklage gemäss Art. 85a SchKG mit einem Streitwert von Fr. 400'000.-- ein (Urk. 3/1; Geschäft FO170002-I). Nach Ab- weisung des Gesuchs der Revisionsklägerin um unentgeltliche Rechtspflege (Urk. 3/19; dagegen ergriffene Rechtsmittel blieben erfolglos, Urk. 3/26 und 3/31) trat das Bezirksgericht Uster mit Verfügung vom 29. März 2018 mangels Leistung des Kostenvorschusses auf die negative Feststellungsklage nicht ein (Urk. 3/32). Auf hiergegen erhobene Rechtsmittel traten die Kammer mit Beschluss vom 18. Mai 2018 (Urk. 3/34) und das Bundesgericht mit Urteil vom 2. Juli 2018 (Urk. 3/35) nicht ein. b) Mit Eingabe vom 21. Dezember 2018 stellte die Revisionsklägerin bei der Vorinstanz ein Revisionsgesuch mit den sinngemässen Anträgen, die Verfü- gung vom 29. März 2018 aufzuheben, der Revisionsklägerin die unentgeltliche Rechtspflege zu gewähren und die negative Feststellungsklage materiell zu beur- teilen (Urk. 1). Mit Urteil vom 9. Januar 2019 wies die Vorinstanz das Revisions- gesuch ab und auferlegte die Entscheidgebühr von Fr. 4'170.-- der Revisionsklä- gerin (Urk. 4 = Urk. 9). c) Hiergegen erhob die Revisionsklägerin mit Eingabe vom 2. Mai 2019 fristgerecht (Urk. 6) Beschwerde und stellte die Beschwerdeanträge (Urk. 8 S. 1): "1. Das Urteil vom 9.1.2019 sei aufzuheben und das Revisionsgesuch sei zu genehmigen.</w:t>
      </w:r>
    </w:p>
    <w:p>
      <w:r>
        <w:rPr>
          <w:b/>
        </w:rPr>
        <w:t>E. 2</w:t>
      </w:r>
    </w:p>
    <w:p>
      <w:r>
        <w:t>Die Kosten CHF 4'175.- seien aufzuheben.</w:t>
      </w:r>
    </w:p>
    <w:p>
      <w:r>
        <w:rPr>
          <w:b/>
        </w:rPr>
        <w:t>E. 3</w:t>
      </w:r>
    </w:p>
    <w:p>
      <w:r>
        <w:t>a) Für das Beschwerdeverfahren beträgt der Streitwert Fr. 400'000.-- (Urk. 9 S. 11). Die zweitinstanzliche Entscheidgebühr ist in Anwendung von § 4 Abs. 1 und 2, § 10 Abs. 1 sowie § 12 GebV OG auf Fr. 3'000.-- festzusetzen. b) Die Gerichtskosten des Beschwerdeverfahrens sind ausgangsgemäss der Revisionsklägerin aufzuerlegen (Art. 106 Abs. 1 ZPO). c) Die Revisionsklägerin hat ein Gesuch um unentgeltliche Rechtspflege gestellt (Urk. 8 S. 1, S. 5.f.). Ein Anspruch auf unentgeltliche Rechtspflege setzt neben der Mittellosigkeit auch voraus, dass die Rechtsbegehren nicht aussichts- los erscheinen (Art. 117 lit. b ZPO). Die Beschwerde ist jedoch als aussichtslos anzusehen (vgl. vorstehende Erwägungen), weshalb das Gesuch um unentgeltli- che Rechtspflege abzuweisen ist. d) Für das Beschwerdeverfahren sind keine Parteientschädigungen zuzu- sprechen, der Revisionsklägerin zufolge ihres Unterliegens, der Revisionsbeklag- ten mangels relevanter Umtriebe (Art. 106 Abs. 1, Art. 95 Abs. 3 ZPO).</w:t>
      </w:r>
    </w:p>
    <w:p>
      <w:r>
        <w:rPr>
          <w:b/>
        </w:rPr>
        <w:t>E. 4</w:t>
      </w:r>
    </w:p>
    <w:p>
      <w:r>
        <w:t>Das Obergericht behält sich vor, weitere Eingaben der Revisionskläge- rin in dieser Sache, namentlich missbräuchliche Revisionsgesuche – nach Prü- fung – ohne Beantwortung abzulegen.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