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PE120003 vom 25. März 2013</w:t>
      </w:r>
    </w:p>
    <w:p>
      <w:r>
        <w:t>ZH Obergericht, 2013-03-25, DE</w:t>
      </w:r>
    </w:p>
    <w:p>
      <w:r>
        <w:rPr>
          <w:b/>
        </w:rPr>
        <w:t xml:space="preserve">Quelle: </w:t>
      </w:r>
      <w:r>
        <w:t>https://mcp.opencaselaw.ch/entscheid/zh_obergericht_PE120003</w:t>
      </w:r>
    </w:p>
    <w:p>
      <w:r>
        <w:t>FR: ZH_OBERGERICHT PE120003 du 25 mars 2013</w:t>
      </w:r>
    </w:p>
    <w:p>
      <w:r>
        <w:t>IT: ZH_OBERGERICHT PE120003 del 25 marzo 2013</w:t>
      </w:r>
    </w:p>
    <w:p>
      <w:pPr>
        <w:pStyle w:val="Heading2"/>
      </w:pPr>
      <w:r>
        <w:t>Erwägungen</w:t>
      </w:r>
    </w:p>
    <w:p>
      <w:r>
        <w:rPr>
          <w:b/>
        </w:rPr>
        <w:t>E. 1</w:t>
      </w:r>
    </w:p>
    <w:p>
      <w:r>
        <w:t>Der Beklagte und Beschwerdeführer (fortan Beklagter) wurde mit Urteil des Einzelgerichts im ordentlichen Verfahren am Bezirksgericht Winterthur vom 10. Februar 2012 verpflichtet, der Klägerin und Beschwerdegegnerin (fortan Klä- gerin) Fr. 8'812.35 nebst Zins zu 5 % seit dem 25. September 2006 sowie Fr. 140.– Zahlungsbefehlskosten zu bezahlen. Ausserdem wurden dem Beklagten die Verfahrenskosten auferlegt und er wurde verpflichtet, der Klägerin eine Pro- zessentschädigung zu bezahlen (Urk. 83 S. 19).</w:t>
      </w:r>
    </w:p>
    <w:p>
      <w:r>
        <w:rPr>
          <w:b/>
        </w:rPr>
        <w:t>E. 2</w:t>
      </w:r>
    </w:p>
    <w:p>
      <w:r>
        <w:t>Die Klage sei abzuweisen.</w:t>
      </w:r>
    </w:p>
    <w:p>
      <w:r>
        <w:rPr>
          <w:b/>
        </w:rPr>
        <w:t>E. 3</w:t>
      </w:r>
    </w:p>
    <w:p>
      <w:r>
        <w:t>Mit Verfügung vom 27. März 2012 (Urk. 85) wurde dem Beklagten Frist zur Leistung eines Vorschusses für die Gerichtskosten des Beschwerdeverfahrens angesetzt. Der Kostenvorschuss erfolgte innert Frist (vgl. Urk. 86).</w:t>
      </w:r>
    </w:p>
    <w:p>
      <w:r>
        <w:rPr>
          <w:b/>
        </w:rPr>
        <w:t>E. 4</w:t>
      </w:r>
    </w:p>
    <w:p>
      <w:r>
        <w:t>Am 23. Mai 2012 erstattete die Klägerin innert der ihr mit Verfügung vom 18. April 2012 (Urk. 87) angesetzten Frist ihre Beschwerdeantwort (Urk. 88) und stellte folgende Rechtsbegehren: " 1. Auf die Beschwerde sei nicht einzutreten, 2. die Beschwerde sei vollumfänglich abzuweisen und das Urteil des Bezirksgerichtes Winterthur mit der Geschäftsnummer FO080057 vom 10. Februar 2012 sei zu bestätigen; 3. unter Kosten- und Entschädigungsfolgen (plus gesetzliche Mehr- wertsteuer) aller Instanzen zu Lasten des Beschwerdeführers."</w:t>
      </w:r>
    </w:p>
    <w:p>
      <w:r>
        <w:rPr>
          <w:b/>
        </w:rPr>
        <w:t>E. 5</w:t>
      </w:r>
    </w:p>
    <w:p>
      <w:r>
        <w:t>Die Beschwerdeantwort wurde dem Beklagten mit Verfügung vom 1. Juni 2012 zugestellt.</w:t>
      </w:r>
    </w:p>
    <w:p>
      <w:r>
        <w:t>- 3 -</w:t>
      </w:r>
    </w:p>
    <w:p>
      <w:r>
        <w:rPr>
          <w:b/>
        </w:rPr>
        <w:t>E. 6</w:t>
      </w:r>
    </w:p>
    <w:p>
      <w:r>
        <w:t>Im Februar 2013 fand im Beschwerdeverfahren ein Referentenwechsel statt.</w:t>
      </w:r>
    </w:p>
    <w:p>
      <w:r>
        <w:rPr>
          <w:b/>
        </w:rPr>
        <w:t>E. 7</w:t>
      </w:r>
    </w:p>
    <w:p>
      <w:r>
        <w:t>Das Verfahren vor Vorinstanz richtete sich noch nach den bis Ende 2010 geltenden Bestimmungen des kantonalen Prozessrechts (Art. 404 Abs. 1 ZPO), wohingegen das Rechtsmittelverfahren der neuen schweizerischen Zivilprozess- ordnung untersteht (Art. 405 Abs. 1 ZPO). 8.1.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Zürich/Basel/Genf 2013, Art. 326 N 3 f.). Unechte Noven sind neue Tatsachen und Beweismittel, die bereits vor erster Instanz hätten vorge- bracht werden können (vgl. Leuenberger, in: Sutter-Somm/Hasenböhler/Leuen- berger, a.a.O., Art. 229 N 8). 8.2. Mit der Beschwerde können unrichtige Rechtsanwendung und offensichtlich unrichtige Feststellung des Sachverhalts geltend gemacht werden (Art. 320 ZPO). Im Beschwerdeverfahren gilt das Rügeprinzip (Freiburghaus/Afheldt, in: Sutter- Somm/Hasenböhler/Leuenberger, a.a.O., Art. 321 ZPO N 15), d.h. die Beschwer- de führende Partei hat im Einzelnen darzulegen, an welchen Mängeln (unrichtige Rechtsanwendung, offensichtlich unrichtige Feststellung des Sachverhalts) der angefochtene Entscheid ihrer Ansicht nach leidet. Was nicht gerügt wird, hat Be- stand. Werden keine oder ungenügende Rügen erhoben, stellt dies einen nicht behebbaren Mangel dar (vgl. Art. 132 ZPO), d.h. ist nicht eine Nachfrist zur er- gänzenden Begründung anzusetzen, sondern ist die Beschwerde abzuweisen. Während der Begriff der unrichtigen Rechtsanwendung jeden Verstoss gegen das geschriebene und ungeschriebene Recht umfasst und die Beschwerdeinstanz diese Rüge mit freier Kognition überprüft, gilt für die Beschwerde hinsichtlich der Sachverhaltsfeststellung eine beschränkte Kognition: Erforderlich ist eine qualifi- ziert fehlerhafte Feststellung des Sachverhalts, wobei "offensichtlich unrichtig" -</w:t>
      </w:r>
    </w:p>
    <w:p>
      <w:r>
        <w:t>- 4 - analog zu Art. 97 Abs. 1 BGG - gleichbedeutend mit willkürlich im Sinn von Art. 9 BV ist. Willkür liegt etwa dann vor, wenn die Vorinstanz ohne eine Begründung vom Ergebnis einer gerichtlichen Expertise abweicht oder eine von einer Partei behauptete und von der anderen Seite bestrittene rechtserhebliche Tatsache trotz Fehlens jeglicher Beweise als bewiesen erachtet (Sutter-Somm/Hasen- böhler/Leuenberger, a.a.O., N 3 ff. zu Art. 320 ZPO). 8.3. Der Beklagte hält in seiner Beschwerde erneut fest, dass die Wärmepumpe, welche die Klägerin ihm verkauft hatte, nicht den offerierten Wirkungsgrad von 4.7 COP, sondern lediglich einen solchen von 4.2 COP gehabt habe, und vermerkt, dass der offerierte Wirkungsgrad ein gewichtiges Verkaufsargument und für den Kaufentschluss des Beklagten entscheidend oder zumindest sehr förderlich ge- wesen sei. Das angefochtene Urteil behandle den offenkundig mangelhaften Wir- kungsgrad COP der Wärmepumpe mit keinem Wort, sondern verlege sich darauf zu behaupten, der Beklagte habe grundsätzlich zwei Mängel - einerseits die man- gelnde Leistungsfähigkeit der Wärmepumpe und andererseits das nicht richtige Aufheizen des Boilers durch die Pumpe - geltend gemacht (Urk. 82 S. 3 ff.). Der Beklagte unterlässt es in der Folge jedoch auszuführen, worin diesbezüglich eine willkürliche Feststellung des Sachverhalts oder eine Rechtsverletzung liegen soll- te. Weiter merkt der Beklagte an, die Vorinstanz erwäge richtig, dass die Zeugen C._____, D._____, E._____, F._____ und G._____ Angestellte der Klägerin ge- wesen seien. Bei der Würdigung ihrer Aussagen sei zu berücksichtigen, dass die genannten Zeugen im Einflussbereich der Klägerin gestanden hätten. Somit seien deren Aussagen nicht vollkommen neutral zu werten (vgl. Urk. 83 S. 3). Dabei sei wesentlich, dass sich einzelne Zeugen vor ihrer Befragung hätten absprechen können und dies auch getan hätten, was ihre Aussagen "stark zweifelhaft", wenn nicht gar unverwertbar mache (Urk. 82 S. 5). Inwiefern die Vorinstanz, welche diesem Umstand in ihren Erwägungen ausdrücklich Rechnung getragen hat (vgl. Urk. 83 S. 3 f.), diese Zeugenaussagen in der Folge willkürlich gewürdigt haben soll, wird nicht dargetan. Alsdann fasst der Beklagte den Sachverhalt, wie er sich seiner Ansicht nach abgespielt haben soll, erneut zusammen (vgl. Urk. 82 S. 2 ff.) und hält fest, was seiner Meinung nach als erstellt zu gelten habe (ungenügender Wirkungsgrad COP, beim Verkauf "vorgegaukelte" Zertifizierung, vgl. Urk. 82 S. 5</w:t>
      </w:r>
    </w:p>
    <w:p>
      <w:r>
        <w:t>- 5 - ff.). Weiter macht der Beklagte allgemeine Ausführungen zum Gewährleistungs- recht beim Kaufvertrag, um anschliessend zu wiederholen, dass der Beklagte die mangelhafte Leistung der Pumpe sofort nach Entdeckung gerügt habe. Daran würden auch die Zeugenaussagen der Angestellten der Klägerin nichts ändern. Entgegen dem angefochtenen Entscheid sei dies "nach den Aussagen von Zeu- gen und des Beklagten sowie aufgrund der Urkunden und nach dem Grundsatz von Treu und Glauben" (Urk. 82 S. 9) erstellt und hinreichend bewiesen (Urk. 82 S. 7ff.). Auch damit macht der Beklagte zwar sinngemäss pauschal geltend, die Vorinstanz habe den Sachverhalt seines Erachtens falsch festgestellt, legt jedoch nicht substantiiert dar, inwieweit die Feststellungen der Vorinstanz qualitativ feh- lerhaft sind. Schliesslich äussert sich der Beklagte in seiner Beschwerde zu der von ihm vorgebrachten Rüge an die Klägerin, wonach die Wärmepumpe den Boi- ler nicht richtig aufheize, und wiederholt die Standpunkte der Parteien sowie die Ergebnisse des Gutachtens. Auch hier unterlässt es der Beklagte, die von ihm behauptete offensichtlich unrichtige Feststellung des Sachverhalts durch die Vo- rinstanz näher zu begründen. Weshalb der Beklagte gegen Ende der Beschwerde plötzlich, nachdem er nochmals betont hat, Minderung des Kaufpreises geltend zu machen, ausführt, er sei beim Vertragsschluss Willensmängeln (Grundlagenirr- tum, absichtliche Täuschung) unterlegen, bleibt im Dunkeln. Die Klägerin hat rich- tigerweise angemerkt, weder Grundlagenirrtum noch absichtliche Täuschung sei- en vor Vorinstanz erklärt bzw. substantiiert worden und ausserdem schliesse die Geltendmachung eines Willensmangels Gewährleistungsansprüche aus Kaufver- trag aus. 8.4. Nach dem Gesagten wird deutlich, dass es der Beklagte unterlässt, sich mit dem vorinstanzlichen Entscheid adäquat auseinanderzusetzen. Er beschränkt sich vielmehr über weite Strecken auf appellatorische Kritik am erstinstanzlichen Entscheid und darauf, seine Argumente, welche er bereits vor Vorinstanz einge- bracht hat, zu wiederholen. Zwar macht er zusammenfassend geltend, die Vo- rinstanz habe "Recht unrichtig" angewandt (Urk. 82 S. 13), legt jedoch nicht dar, inwiefern die Vorinstanz das Recht falsch angewendet haben soll bzw. welche Normen verletzt worden sein sollen. Ebensowenig begründet er substantiiert,</w:t>
      </w:r>
    </w:p>
    <w:p>
      <w:r>
        <w:t>- 6 - weshalb die Sachverhaltsfeststellung der Vorinstanz offensichtlich unrichtig sein sollte. Demnach ist die Beschwerde abzuweisen. 9.1. Ausgangsgemäss sind die Kosten für das Beschwerdeverfahren dem Be- klagten aufzuerlegen (Art. 106 Abs. 1 ZPO). Der Streitwert beträgt Fr. 8'812.35. Die Gerichtsgebühr für das Beschwerdeverfahren ist gestützt auf die Gebühren- verordnung des Obergerichts (GebV OG) vom 8. September 2010 auf Fr. 1'600.– festzusetzen. 9.2. Ausserdem ist der Beklagte zu verpflichten, der Klägerin eine angemessene Prozessentschädigung zu bezahlen (vgl. Art. 95 Abs. 3 ZPO). Die Entschädigung ist in Anwendung der Verordnung über die Anwaltsgebühren (AnwGebV) vom</w:t>
      </w:r>
    </w:p>
    <w:p>
      <w:r>
        <w:rPr>
          <w:b/>
        </w:rPr>
        <w:t>E. 8</w:t>
      </w:r>
    </w:p>
    <w:p>
      <w:r>
        <w:t>September 2010 auf Fr. 2'000.– zuzüglich 8% MWSt. (vgl. Urk. 88)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