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PE110022 vom 1. Oktober 2012</w:t>
      </w:r>
    </w:p>
    <w:p>
      <w:r>
        <w:t>ZH Obergericht, 2012-10-01, DE</w:t>
      </w:r>
    </w:p>
    <w:p>
      <w:r>
        <w:rPr>
          <w:b/>
        </w:rPr>
        <w:t xml:space="preserve">Quelle: </w:t>
      </w:r>
      <w:r>
        <w:t>https://mcp.opencaselaw.ch/entscheid/zh_obergericht_PE110022</w:t>
      </w:r>
    </w:p>
    <w:p>
      <w:r>
        <w:t>FR: ZH_OBERGERICHT PE110022 du 1 octobre 2012</w:t>
      </w:r>
    </w:p>
    <w:p>
      <w:r>
        <w:t>IT: ZH_OBERGERICHT PE110022 del 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23. Juli 2009 unterzeichnete die Beklagte und Beschwerdegegnerin (nachfolgend: Beklagte) einen "Werbeflächenvertrag" mit der Klägerin und Beschwerdeführerin (nachfolgend: Klägerin). In diesem Vertrag verpflichtete sich die Klägerin, für die Beklagte Werbung herzustellen und diese während der Dauer von fünf Jahren auf dem Schulbus der … Schule in C._____ zu platzieren. Die Beklagte verpflichtete sich, der Klägerin für die Werbelaufzeit pro Jahr Fr. 700.00 bzw. für die gesamte 5-jährige Vertragsdauer Fr. 3'500.00 zu bezahlen (Urk. 4/2).</w:t>
      </w:r>
    </w:p>
    <w:p>
      <w:r>
        <w:rPr>
          <w:b/>
        </w:rPr>
        <w:t>E. 2</w:t>
      </w:r>
    </w:p>
    <w:p>
      <w:r>
        <w:t>Prozessgeschichte 1. Mit Klage vom 15. Dezember 2010 beantragte die Klägerin dem Bezirksge- richt Meilen, die Beklagte zur Zahlung von Fr. 3'632.90 zuzüglich Zins zu</w:t>
      </w:r>
    </w:p>
    <w:p>
      <w:r>
        <w:rPr>
          <w:b/>
        </w:rPr>
        <w:t>E. 5</w:t>
      </w:r>
    </w:p>
    <w:p>
      <w:r>
        <w:t>Kosten- und Entschädigungsfolgen 1. Die Klägerin verlangt neben Schadenersatz für die entstandenen Aufwen- dungen auch den Ersatz der Kosten für das Friedensrichterverfahren im Um- fang von Fr. 250.00 (Urk. 25 S. 2). Der Ersatz dieser Kosten ist Teil der Ent- schädigungsfolgen und in der zuzusprechenden Parteientschädigung enthal- ten. Die Klägerin obsiegt im Beschwerdeverfahren zu rund 1/5, weshalb ihr die Kosten für das Friedensrichterverfahren im gleichen Umfang zu ersetzen sind, was Fr. 50.– entspricht. 2. Die vorinstanzliche Kosten- und Entschädigungsregelung wurde im Be- schwerdeverfahren nicht beanstandet. Zwar wird die Aufhebung des ange- fochtenen Urteils beantragt. Gleichzeitig wird die Gutheissung der klägeri- schen Begehren beantragt, wobei keine Anträge zu den erstinstanzlichen Kosten- und Entschädigungsfolgen gestellt werden (vgl. Urk. 25 S. 2). 3. Die Entscheidgebühr für das Beschwerdeverfahren richtet sich nach der Gebührenverordnung des Obergerichts (GebV OG) und ist in Anwendung von § 4 Abs. 1 und § 12 GebV OG auf Fr. 770.– festzusetzen. Die Klägerin unterliegt im vorliegenden Verfahren zu rund 4/5. In diesem Umfang sind ihr auch die Kosten zu auferlegen (Art. 106 Abs. 2 ZPO).</w:t>
      </w:r>
    </w:p>
    <w:p>
      <w:r>
        <w:t>- 8 - 4. Die Prozessentschädigung richtet sich für das Beschwerdeverfahren nach der Verordnung über die Anwaltsgebühren (AnwGebV) und ist in Anwen- dung von § 4 Abs. 1 und § 13 Abs. 2 AnwGebV auf Fr. 450.00 festzusetzen. Ausgangsgemäss ist die Klägerin zu verpflichten, der Beklagten eine nach der Verrechnung der gegenseitigen Entschädigungsansprüche auf 3/5 redu- zierte Parteientschädigung von Fr. 270.– zuzüglich 8% MWSt (vgl. Urk. 33 S. 2) zu bezahlen (Art. 106 Abs. 2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