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PD220018 vom 7. November 2022</w:t>
      </w:r>
    </w:p>
    <w:p>
      <w:r>
        <w:t>ZH Obergericht, 2022-11-07, DE</w:t>
      </w:r>
    </w:p>
    <w:p>
      <w:r>
        <w:rPr>
          <w:b/>
        </w:rPr>
        <w:t xml:space="preserve">Quelle: </w:t>
      </w:r>
      <w:r>
        <w:t>https://mcp.opencaselaw.ch/entscheid/zh_obergericht_PD220018</w:t>
      </w:r>
    </w:p>
    <w:p>
      <w:r>
        <w:t>FR: ZH_OBERGERICHT PD220018 du 7 novembre 2022</w:t>
      </w:r>
    </w:p>
    <w:p>
      <w:r>
        <w:t>IT: ZH_OBERGERICHT PD220018 del 7 novembre 2022</w:t>
      </w:r>
    </w:p>
    <w:p>
      <w:pPr>
        <w:pStyle w:val="Heading2"/>
      </w:pPr>
      <w:r>
        <w:t>Erwägungen</w:t>
      </w:r>
    </w:p>
    <w:p>
      <w:r>
        <w:rPr>
          <w:b/>
        </w:rPr>
        <w:t>E. 1.1</w:t>
      </w:r>
    </w:p>
    <w:p>
      <w:r>
        <w:t>Mit Eingabe vom 18. August 2022 (Datum Poststempel) gelangte A._____ (Kläger und Beschwerdeführer, fortan Kläger) – unter Beilage der Klagebewilli- gungen der Schlichtungsbehörde Zürich vom 17. Juni 2022 – an das Mietgericht Zürich (fortan Vorinstanz). Er verlangte, es sei die ordentliche Kündigung der Baugenossenschaft B._____ (Beklagte und Beschwerdegegnerin, fortan Beklag- te) vom 6. April 2022 per 31. Juli 2022 als auch die ausserordentliche Kündigung vom 12. Mai 2022 per 30. Juni 2022 für ungültig zu erklären. Eventualiter sei das Mietverhältnis mit der Beklagten längst möglich zu erstrecken. Alles unter Kosten- und Entschädigungsfolgen (zuzügl. 7.7% MwSt.) zulasten der Beklagten. In pro- zessualer Hinsicht verlangte der Kläger, es sei ihm die unentgeltliche Prozessfüh- rung zu bewilligen und ihm eine unentgeltliche Rechtsvertretung zu gewähren. Von der Pflicht zur Leistung eines Kostenvorschusses sei er einstweilen zu be- freien (act. 6/1 S. 2; act. 6/5-6).</w:t>
      </w:r>
    </w:p>
    <w:p>
      <w:r>
        <w:rPr>
          <w:b/>
        </w:rPr>
        <w:t>E. 1.2</w:t>
      </w:r>
    </w:p>
    <w:p>
      <w:r>
        <w:t>Die Vorinstanz zog die Akten der Schlichtungsverfahren-Nr. MO220508 so- wie Nr. MO220665 bei (act. 6/7-8). Sie stellte der Beklagten mit Beschluss vom 25. August 2022 (act. 6/10) das Doppel der Klage samt Beilagen zu (Dispositiv- Ziffer 1). Das Gesuch des Klägers um Gewährung der unentgeltlichen Prozess- führung sowie Bestellung einer unentgeltlichen Rechtsbeiständin wies die Vor- instanz ab (Dispositiv-Ziffer 2) und sie setzte dem Kläger eine Frist von 10 Tagen zur Leistung eines Kostenvorschusses von Fr. 3'150.00 an (Dispositiv-Ziffer 3). Zudem wurde die Prozessleitung an den Mietgerichtspräsidenten delegiert (Dis- positiv-Ziffer 4). Der Beschluss vom 25. August 2022 wurde der Rechtsvertreterin des Klägers am 29. August 2022 zugestellt (act. 6/11). In der Präsidialverfügung vom 20. September 2022 wurde festgehalten, der Kläger habe den Kostenvor- schuss innert Frist nicht geleistet. Es wurde ihm eine letzte (Nach-)Frist von</w:t>
      </w:r>
    </w:p>
    <w:p>
      <w:r>
        <w:rPr>
          <w:b/>
        </w:rPr>
        <w:t>E. 5</w:t>
      </w:r>
    </w:p>
    <w:p>
      <w:r>
        <w:t>Umständehalber sind für dieses Verfahren keine Kosten zu erheben. Es sind kei- ne Parteientschädigungen zuzusprechen: Dem Kläger nicht, weil er unterliegt, und der Beklagten nicht, weil ihr keine zu entschädigenden Umtriebe entstanden sind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