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PD220004 vom 5. Juli 2022</w:t>
      </w:r>
    </w:p>
    <w:p>
      <w:r>
        <w:t>ZH Obergericht, 2022-07-05, DE</w:t>
      </w:r>
    </w:p>
    <w:p>
      <w:r>
        <w:rPr>
          <w:b/>
        </w:rPr>
        <w:t xml:space="preserve">Quelle: </w:t>
      </w:r>
      <w:r>
        <w:t>https://mcp.opencaselaw.ch/entscheid/zh_obergericht_PD220004</w:t>
      </w:r>
    </w:p>
    <w:p>
      <w:r>
        <w:t>FR: ZH_OBERGERICHT PD220004 du 5 juillet 2022</w:t>
      </w:r>
    </w:p>
    <w:p>
      <w:r>
        <w:t>IT: ZH_OBERGERICHT PD220004 del 5 luglio 2022</w:t>
      </w:r>
    </w:p>
    <w:p>
      <w:pPr>
        <w:pStyle w:val="Heading2"/>
      </w:pPr>
      <w:r>
        <w:t>Erwägungen</w:t>
      </w:r>
    </w:p>
    <w:p>
      <w:r>
        <w:rPr>
          <w:b/>
        </w:rPr>
        <w:t>E. 1</w:t>
      </w:r>
    </w:p>
    <w:p>
      <w:r>
        <w:t>Es sei die Beklagte zu verpflichten, je die Fenster in den zwei Schlafzim- mern der 4.5-Zimmerwohnung an der D._____-strasse ... in ... E._____ zu sanieren.</w:t>
      </w:r>
    </w:p>
    <w:p>
      <w:r>
        <w:rPr>
          <w:b/>
        </w:rPr>
        <w:t>E. 1.1</w:t>
      </w:r>
    </w:p>
    <w:p>
      <w:r>
        <w:t>A._____ (Klägerin und Beschwerdeführerin, nachfolgend Beschwerdeführe- rin) schloss gemeinsam mit ihrer Tochter C._____ am 27. Mai 2016 einen Miet- vertrag mit B._____ (Beklagte und Beschwerdegegnerin, nachfolgend Beschwer- degegnerin) über die 4.5-Zimmer-Wohnung im Erdgeschoss in der Liegenschaft D._____-strasse ..., ... E._____, mit Mietbeginn 1. Juli 2016 zu einem monatlichen Nettomietzins von Fr. 1'650.-- zuzüglich Fr. 310.-- Betriebskosten akonto ab. Der Nettomietzins wurde per 1. April 2018 auf Fr. 1'618.-- bzw. per 1. Oktober 2020 auf Fr. 1'599.-- reduziert und die Nebenkosten betragen seit 1. April 2018 Fr. 280.-- (act. 76/4; Prot. I S. 32 f.).</w:t>
      </w:r>
    </w:p>
    <w:p>
      <w:r>
        <w:rPr>
          <w:b/>
        </w:rPr>
        <w:t>E. 1.2</w:t>
      </w:r>
    </w:p>
    <w:p>
      <w:r>
        <w:t>Mit Eingabe vom 31. Januar 2020 (Datum Poststempel) samt Klagebewilli- gung gelangte die Beschwerdeführerin an das Mietgericht des Bezirksgerichtes Bülach und machte ein Forderungsklage sinngemäss mit den folgenden Rechts- begehren anhängig (act. 1-3 und Prot. I S. 9 f.):</w:t>
      </w:r>
    </w:p>
    <w:p>
      <w:r>
        <w:rPr>
          <w:b/>
        </w:rPr>
        <w:t>E. 1.3</w:t>
      </w:r>
    </w:p>
    <w:p>
      <w:r>
        <w:t>Gegen diesen Entscheid führt die Beschwerdeführerin mit Eingabe vom 9. März 2022 Beschwerde bei der II. Zivilkammer des Obergerichts des Kantons Zürich und beantragt das Folgende (act. 85 S. 2): "1. Es sei das Urteil des Bezirksgerichtes Bülach vom 29. November 2021 (MJ200002) vollumfänglich aufzuheben und die Beschwerdegegnerin zu verpflichten, je die Fenster in den zwei Schlafzimmern der 4.5- Zimmerwohnung an der D._____-strasse ... in ... E._____ zu sanieren.</w:t>
      </w:r>
    </w:p>
    <w:p>
      <w:r>
        <w:rPr>
          <w:b/>
        </w:rPr>
        <w:t>E. 2</w:t>
      </w:r>
    </w:p>
    <w:p>
      <w:r>
        <w:t>Unter Kosten- und Entschädigungsfolgen (zzgl. MWST) zu Lasten der Be- schwerdegegnerin." Zudem ersucht die Beschwerdeführerin für das Beschwerdeverfahren um Bewilli- gung der unentgeltlichen Rechtspflege und Rechtsverbeiständung durch Rechts- anwältin MLaw X2._____ (act. 89). Die vorinstanzlichen Akten wurden beigezo- gen (act. 1-82). Auf weitere prozessleitende Anordnungen wurde verzichtet. Das Verfahren erweist sich als spruchreif.</w:t>
      </w:r>
    </w:p>
    <w:p>
      <w:r>
        <w:rPr>
          <w:b/>
        </w:rPr>
        <w:t>E. 2.1</w:t>
      </w:r>
    </w:p>
    <w:p>
      <w:r>
        <w:t>Das Verfahren betrifft eine Mietstreitigkeit nach Art. 243 Abs. 2 lit. c ZPO und untersteht damit dem vereinfachten Verfahren (vgl. ZR 115/2016 Nr. 6 S. 33 ff.). Es gilt die sogenannte eingeschränkte (soziale) Untersuchungs- und die Dis- positionsmaxime (Art. 247 Abs. 2 lit. a ZPO i.V.m. Art. 243 Abs. 2 lit. c ZPO, Art. 58 Abs. 1 ZPO).</w:t>
      </w:r>
    </w:p>
    <w:p>
      <w:r>
        <w:rPr>
          <w:b/>
        </w:rPr>
        <w:t>E. 2.2</w:t>
      </w:r>
    </w:p>
    <w:p>
      <w:r>
        <w:t>Ausgehend von einem Streitwert von Fr. 3'000.-- (vgl. act. 16 und act. 84 S. 4) ist gegen das angefochtene Urteil die Beschwerde zulässig (Art. 319 lit. a und Art. 308 Abs. 2 ZPO). Das Beschwerdeverfahren richtet sich nach den Art. 319 ff. ZPO. Die Beschwerde ist bei der Rechtsmittelinstanz innert der Rechtsmittelfrist schriftlich und begründet einzureichen (Art. 321 Abs. 1 ZPO). Aus der Begründungslast ergibt sich zudem, dass die Beschwerde Rechtsmittel- anträge zu enthalten hat.</w:t>
      </w:r>
    </w:p>
    <w:p>
      <w:r>
        <w:rPr>
          <w:b/>
        </w:rPr>
        <w:t>E. 2.3</w:t>
      </w:r>
    </w:p>
    <w:p>
      <w:r>
        <w:t>Die vorliegende Beschwerde vom 9. März 2022 (Datum Poststempel) wurde rechtzeitig, schriftlich, mit Anträgen versehen und begründet bei der Kammer als der zuständigen Rechtsmittelinstanz eingereicht. Die Beschwerdeführerin ist</w:t>
      </w:r>
    </w:p>
    <w:p>
      <w:r>
        <w:t>- 4 - durch den angefochtenen Entscheid beschwert und zur Beschwerde legitimiert. Es ist daher auf die Beschwerde einzutreten.</w:t>
      </w:r>
    </w:p>
    <w:p>
      <w:r>
        <w:rPr>
          <w:b/>
        </w:rPr>
        <w:t>E. 2.4</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ZPO-FREIBURGHAUS/AFHELDT, 3. Aufl. 2016, Art. 320 N 3 f. i.V.m. ZK ZPO- REETZ/THEILER, 3. Aufl. 2016, Art. 310 N 36). Neue Tatsachen und Beweismittel sind im Beschwerdeverfahren ausgeschlossen (Art. 326 ZPO).</w:t>
      </w:r>
    </w:p>
    <w:p>
      <w:r>
        <w:rPr>
          <w:b/>
        </w:rPr>
        <w:t>E. 2.5</w:t>
      </w:r>
    </w:p>
    <w:p>
      <w:r>
        <w:t>Die Beschwerdeführerin rügt mit der Beschwerde einerseits die unrichtige Anwendung von Art. 259a OR und andererseits die offensichtlich unrichtige Fest- stellung des Sachverhalts (vgl. act. 85 S. 4 ff.). Auf die Vorbringen der Beschwer- deführerin wird in den nachfolgenden Erwägungen soweit eingegangen, als dies für die Entscheidfindung erforderlich ist und es sich nicht um Noven handelt.</w:t>
      </w:r>
    </w:p>
    <w:p>
      <w:r>
        <w:rPr>
          <w:b/>
        </w:rPr>
        <w:t>E. 3.1</w:t>
      </w:r>
    </w:p>
    <w:p>
      <w:r>
        <w:t>Gemäss Art. 256 Abs. 1 OR ist die Vermieterin verpflichtet, die Sache zum vereinbarten Zeitpunkt in einem zum vorausgesetzten Gebrauch tauglichen Zu- stand zu übergeben und in demselben zu erhalten. Entstehen an der Sache Män- gel, die die Mieterin weder zu verantworten noch auf eigene Kosten zu beseitigen hat, oder wird die Mieterin im vertragsgemässen Gebrauch der Sache gestört, so kann sie unter anderem die Beseitigung des Mangels verlangen (Art. 259a Abs. 1 lit. a OR). Ein Mangel liegt vor, wenn die Sache eine von der Vermieterin verspro- chene Eigenschaft nicht aufweist oder wenn sie eine Eigenschaft nicht aufweist, mit welcher die Mieterin unter Bezugnahme auf den zum vereinbarten Gebrauch tauglichen Zustand rechnen konnte (BGE 135 III 345 E. 3.2 = Pra 2009 Nr. 135). Ob die Mietsache an einem Mangel leidet oder ob im Gegenteil die Sache zum vorausgesetzten Gebrauch taugt, ist eine Rechtsfrage. Für die tatsächlichen Grundlagen eines Mangels trägt der Mieter die Beweislast (Art. 8 ZGB; BSK OR I- WEBER, 7. Aufl. 2020, Art. 259a N 4).</w:t>
      </w:r>
    </w:p>
    <w:p>
      <w:r>
        <w:t>- 5 -</w:t>
      </w:r>
    </w:p>
    <w:p>
      <w:r>
        <w:rPr>
          <w:b/>
        </w:rPr>
        <w:t>E. 3.2</w:t>
      </w:r>
    </w:p>
    <w:p>
      <w:r>
        <w:t>Vor diesem Hintergrund wies die Vorinstanz das Sanierungsbegehren der Beschwerdeführerin mit der Begründung ab, der Beschwerdeführerin gelinge es nicht, einen Mangel an der Mietsache respektive an den Fenstern zu beweisen. Es sei zwischen den Parteien unbestritten, dass weder eine Vereinbarung betref- fend Immissionen bzw. betreffend ein bestimmtes Mass an Immissionsfreiheit ge- troffen worden sei, noch habe die Beschwerdegegnerin der Beschwerdeführerin zugesichert, dass die Wohnung besonders ruhig wäre. Die Mietsache mit den da- rin installierten Fenstern sei unbestrittenermassen in einem vertragsgemässen Zustand übergeben worden. Zudem würden sich die massgeblichen Fenster in einem guten Zustand befinden und die Beschwerdeführerin behaupte auch nicht, der Zustand der Fenster sei mangelhaft (act. 84 S. 9). Dennoch sei zu prüfen, ob auf Grund des von der D._____-strasse ausgehenden Verkehrslärms der Immis- sionsgrenzwert in den beiden betroffenen Schlafzimmern überschritten werde, so dass die Zimmer nicht mehr zum vorausgesetzten Gebrauch, namentlich zum Wohnen und insbesondere zum Schlafen, taugen würden. Die von der Beschwer- deführerin bewohnte Liegenschaft befinde sich direkt an der stark befahrenen Verbindungsstrasse zwischen F._____ und E._____ nahe des Autobahnkreuzes Zürich Nord sowie des Flughafens Zürich-Kloten. Die Wohnung sei somit unbe- strittenermassen Schallimmissionen diverser Quellen ausgesetzt, weshalb sie lärmschutztechnisch der Umgebung der Empfindlichkeitsstufe III zugeordnet wer- de. Es handle sich um eine Altbauwohnung im Erdgeschoss, wobei sich die be- mängelten Fenster in den beiden zur D._____-strasse ausgerichteten Schlafzim- mern befinden würden. Es verstehe sich von selbst, dass in einer Altbauwohnung an einer zentralen, verkehrsreichen Hauptstrasse zwangsläufig in erhöhtem Mass mit Lärmimmissionen gerechnet werden müsse, welche von der Mieterin bis zu einem gewissen Grad hinzunehmen seien. Aus Seite 32 des von der Beschwer- deführerin eingereichten (undatierten) Berichts der Baudirektion des Kantons Zü- rich ergebe sich nicht, dass in den beiden betroffenen Schlafzimmern der gelten- de Immissionsgrenzwert von 65 Dezibel bei Tag, wie es die Beschwerdeführerin geltend mache, überschritten sei. Auch wenn gemäss diesem Bericht tagsüber ein Lärmpegel von 67 Dezibel gemessen worden sei, bedeute dies lediglich, dass der Immissionsgrenzwert von 65 Dezibel höchstens an der Lärmquelle selbst</w:t>
      </w:r>
    </w:p>
    <w:p>
      <w:r>
        <w:t>- 6 - überschritten worden sei. Diese Messung erlaube jedoch keine Aussage über die in den Schlafzimmern selbst bestehende Intensität der Lärmimmissionen und da- her auch keinen Rückschluss auf eine allfällige Einschränkung der Ge- brauchstauglichkeit der Wohnung bzw. der beiden Schlafzimmer. Im Rahmen des Augenscheins am 24. August 2021 habe das Gericht zur morgendlichen Haupt- verkehrszeit um 07:35 Uhr mittels eines Schallpegelmessegeräts (Voltcraft SL-10) in den beiden Schlafzimmern eine eigene Messung des Schallpegels durchge- führt. Der Schallpegel sei in der Mitte des jeweiligen Zimmers mit einem Messin- tervall von ca. 45 bis 90 Sekunden gemessen worden. Die Resultate hätten deut- lich gezeigt, dass der geltende Immissionsgrenzwert von 65 Dezibel bei Tag durch den Verkehrslärm der D._____-strasse nicht überschritten werde. Selbst bei leicht geöffnetem Fenster und hochgezogenem Rollladen habe der Schallpe- gel maximal 56 Dezibel erreicht. Die Messresultate würden sich im Übrigen auch mit dem persönlichen Eindruck respektive den Wahrnehmungen des beim Au- genschein anwesenden Ersatzrichters sowie Gerichtsschreibers decken, wonach der Verkehr in beiden Zimmern durch das geschlossene Fenster bei hochgezo- genem Rollladen gedämpft, als immer wiederkehrendes und beinahe regelmässi- ges Rauschen hörbar sei. Damit erweise sich der Verkehrslärm nicht als so laut, dass davon ausgegangen werden müsste, eine durchschnittlich empfindliche Per- son könnte nicht zur Ruhe kommen und/oder hätte Mühe beim Ein- und/ oder Durchschlafen, so dass die Gebrauchstauglichkeit des Mietobjekts beein- trächtigt würde (act. 84 S. 10 ff.). Sodann hielt die Vorinstanz lediglich ergänzend fest, der Beschwerdeführerin sei es auch nicht gelungen zu beweisen, dass der motorisierte Verkehr im massge- blichen Emissionsabschnitt Nr. 1 der D._____-strasse (Strassen-Nrn. 2-3) seit dem 1. Juli 2018 zugenommen habe, weshalb auch kein Mangel der Mietsache infolge Veränderung der Umgebung bestehe (act. 84 S. 12 f.). Zudem würden selbst bei Vorliegen eines Mangels die Sanierungskosten wohl kaum in einem vernünftigen Verhältnis zum Nutzen stehen, nachdem die Beschwerdeführerin an- lässlich des Augenscheins erklärt habe, in Zukunft nicht mehr in einem der beiden Kinderzimmer, sondern im Elternschlafzimmer schlafen zu wollen (act. 84 S. 13).</w:t>
      </w:r>
    </w:p>
    <w:p>
      <w:r>
        <w:t>- 7 -</w:t>
      </w:r>
    </w:p>
    <w:p>
      <w:r>
        <w:rPr>
          <w:b/>
        </w:rPr>
        <w:t>E. 3.3</w:t>
      </w:r>
    </w:p>
    <w:p>
      <w:r>
        <w:t>Dagegen bringt die Beschwerdeführerin im Wesentlichen vor, der übermäs- sige Strassenlärm stelle vorliegend einen mietrechtlichen Mangel dar, weil die Immissionsgrenzwerte gemäss Lärmschutzverordnung erheblich überschritten seien (act. 85 S. 11). Gemäss dem bei der Vorinstanz eingereichten akustischen Projekt der Firma G._____ AG zuhanden der Baudirektion vom April 2017 stehe fest, dass die Immissionsgrenzwerte in Bezug auf die streitgegenständliche Woh- nung massiv überschritten seien. Tagsüber liege eine Grenzwertüberschreitung von 2 Dezibel und in der Nacht sogar von 4 Dezibel vor. Entgegen der Vorinstanz sei dabei nicht an der Lärmquelle, sondern an der betroffenen Liegenschaft selbst gemessen worden. Gemäss Art. 39 der Lärmschutzverordnung würden bei Ge- bäuden die Lärmimmissionen in der Mitte des offenen Fensters lärmempfindlicher Räume ermittelt. Damit sei eine Überschreitung der Immissionsgrenzwerte hin- sichtlich der streitbetroffenen Liegenschaft bzw. der lärmempfindlichen Schlaf- zimmer klar belegt worden. Die Messungen anlässlich des Augenscheins seien mit einem Amateurgerät und nicht LSV-konform durchgeführt worden. Es handle sich um eine nicht repräsentative Momentaufnahme (act. 85 S. 6 ff.). Es gehe nicht darum nachzuweisen, dass die Fenster mangelhaft seien. Mangel- haft sei die Mietsache, weil die Beschwerdeführerin durch die Lärmimmissionen gesundheitsschädlichen Immissionen ausgesetzt sei (act. 85 S. 11). Zahlreiche wissenschaftliche Studien hätten die Gesundheitsschädlichkeit von Verkehrslärm bereits ab einer Belastung weit unterhalb der Immissionsgrenzwerte bestätigt. Mit den hierzu anlässlich der Schlussvorträge vorgebrachten Argumenten habe sich die Vorinstanz nicht ansatzweise auseinandergesetzt und damit den Anspruch auf rechtliches Gehör verletzt (act. 85 S. 9 ff.). Um den Mangel des übermässigen Strassenlärms zu beheben, sei ein Ersatz der bestehenden Fenster durch Schallschutzfenster dringend angezeigt. Die Fenster seien vor über 30 Jahren ersetzt worden und es könne daher davon ausgegangen werden, dass ihnen keine schalldämmende Wirkung zukomme (act. 85 S. 11). Schliesslich sei auch das Argument der Verhältnismässigkeit der Mangelbeseiti- gung nicht stichhaltig, weil der Kanton Zürich den Hauseigentümern bei Über- schreitung der Immissionsgrenzwerte einen wesentlichen Beitrag an den Einbau</w:t>
      </w:r>
    </w:p>
    <w:p>
      <w:r>
        <w:t>- 8 - von Schallschutzfenstern ausrichte. Darauf habe die Beschwerdegegnerin freiwil- lig verzichtet, weshalb die Berufung auf die Unverhältnismässigkeit der Sanie- rungskosten widersprüchlich wäre. Auch wenn die Beschwerdeführerin nach dem Auszug ihrer Tochter die Möglichkeit habe, ins ruhigere Elternschlafzimmer zu wechseln, müsse die Gebrauchstauglichkeit für sämtliche Schlafzimmer gegeben sein (act. 85 S. 12).</w:t>
      </w:r>
    </w:p>
    <w:p>
      <w:r>
        <w:rPr>
          <w:b/>
        </w:rPr>
        <w:t>E. 4.1</w:t>
      </w:r>
    </w:p>
    <w:p>
      <w:r>
        <w:t>Die Beschwerdeführerin beantragt vorliegend im Rahmen der Mängelbesei- tigungsklage die Sanierung der Fenster wegen Lärmimmissionen durch den Ver- kehr auf der D._____-strasse. Demnach ist entgegen den Ausführungen der Be- schwerdeführerin vorliegend konkret zu beurteilen, ob die Fenster mangelhaft, al- so derart beschaffen sind, dass sie den Verkehrslärm nicht genügend dämmen, und dadurch die Gebrauchstauglichkeit des Mietobjekts beeinträchtigt wird. Wäre hier nicht die Beschaffenheit der Fenster massgebend, so würde sich auch eine Sanierung derselben erübrigen.</w:t>
      </w:r>
    </w:p>
    <w:p>
      <w:r>
        <w:rPr>
          <w:b/>
        </w:rPr>
        <w:t>E. 4.2</w:t>
      </w:r>
    </w:p>
    <w:p>
      <w:r>
        <w:t>Die Vorinstanz hat festgestellt, dass die Mietsache mit den darin installierten Fenstern der Beschwerdeführerin unbestrittenermassen in einem vertragsgemäs- sen Zustand übergeben worden sei. Es handle sich bei den Fenstern um im Jahr 1990 neu eingebaute zweifachverglaste und schallhemmende Holzmetallfenster mit Isolierglas, welche beim Einzug der Beschwerdeführerin im Juni 2016 gerich- tet worden und im April 2019 einem Service unterzogen worden seien. Dabei sei- en wo nötig Gummidichtungen und Fugen ausgebessert, die Fenster neu einge- stellt und abgedichtet worden, und es sei festgehalten worden, dass die Fenster sämtlichen Normen entsprächen und für die Restlebensdauer von zehn Jahren genügend abgedichtet seien, so dass von einem vorzeitigen Fensterersatz abge- sehen werden könne. Die Fenster befänden sich auch augenscheinlich in einem guten Zustand (act. 84 S. 9). Diese Feststellungen beanstandet die Beschwerde- führerin nicht, weshalb darauf abzustellen ist. In der Folge bleibt festzuhalten, dass alleine der Umstand, dass die Fenster über 30-jährig sind, im Hinblick auf ih- re Dämmwirkung noch keinen Sanierungsbedarf zu begründen vermag.</w:t>
      </w:r>
    </w:p>
    <w:p>
      <w:r>
        <w:t>- 9 -</w:t>
      </w:r>
    </w:p>
    <w:p>
      <w:r>
        <w:rPr>
          <w:b/>
        </w:rPr>
        <w:t>E. 4.3</w:t>
      </w:r>
    </w:p>
    <w:p>
      <w:r>
        <w:t>Die Beschwerdegegnerin trifft im Zusammenhang mit Lärmimmissionen durch den Verkehrslärm dann eine Pflicht zur Sanierung der Fenster, wenn das Mietobjekt mit den darin installierten Fenster das geschuldete Mass an Immissi- onsfreiheit nicht einhält. Haben die Parteien diesbezüglich keine konkreten Ver- einbarungen getroffen, so steht die Gebrauchsvereinbarung im Vordergrund. Ein immissionsbedingter Mangel liegt dann vor, wenn die Tauglichkeit zum Wohnge- brauch infolge auftretender Immissionen nicht (mehr) gewährleistet ist (TSCHUDI, SVIT-Kommentar Mietrecht, 4. Aufl. 2018, Vorbem. zu Art. 258-259i N 53 und Art. 256 N 39). Nach bundesgerichtlicher Rechtsprechung kann nicht erwartet werden, dass keine Lärmimmissionen vorhanden sind (BGer 4A_281/2009 vom 31. Juli 2009 E. 3.2). In der Nacht stellen besonders Geräuschimmissionen, die den Schlaf stören, eine Beeinträchtigung der Gebrauchstauglichkeit der Wohnung bzw. eine Abweichung vom vertragsgemäss geschuldeten Mindeststandard dar und sind deshalb als Mangel zu qualifizieren (BGer 4C.65/2002 vom 31. Mai 2002 E. 3c; BGer 4A_244/2009 vom 7. September 2009 E. 3.2). Ob sich die Geräu- schimmissionen im konkreten Fall schlafstörend auswirken, richtet sich – wie die Vorinstanz zu Recht ausführte (vgl. act. 84 S. 8 f.) – nicht nach dem subjektiven Empfinden der Mieterin, sondern nach einem objektiven Massstab.</w:t>
      </w:r>
    </w:p>
    <w:p>
      <w:r>
        <w:rPr>
          <w:b/>
        </w:rPr>
        <w:t>E. 4.4</w:t>
      </w:r>
    </w:p>
    <w:p>
      <w:r>
        <w:t>Die Vorinstanz hat zutreffend festgestellt, dass die Parteien unbestrittener- massen keine Vereinbarung hinsichtlich Geräuschimmissionen bzw. ein bestimm- tes Mass an Immissionsfreiheit getroffen haben (act. 84 S. 5). Daher ist nach dem Gesagten das Vorliegen eines immissionsbedingten Mangels bzw. die Tauglich- keit der Wohnung der Beschwerdeführerin zum vorausgesetzten Gebrauch – na- mentlich zum Wohnen und insbesondere zum Schlafen – nach einem objektiven Massstab zu beurteilen. Die Vorinstanz stellte hierfür auf die Lärmschutzverord- nung ab und hielt fest, die vorhandenen Fenster in den betroffenen Zimmern wür- den als mangelhaft gelten, wenn sie mit ihrer Dämmeigenschaft in der Wohnung die Immissionsgrenzwerte gemäss Lärmschutzverordnung nicht einhalten würden (act. 84 S. 10-12). Davon geht auch die Beschwerdeführerin aus (act. 85 S. 4, S. 6-8 und S. 11). Abgesehen davon ist anzumerken, dass die Lärmschutzverord- nung den Schutz vor schädlichem und lästigem Lärm bezweckt (Art. 1 Lärm- schutzverordnung [LSV, SR 814.41]) und mit seinen generell-abstrakten Normen</w:t>
      </w:r>
    </w:p>
    <w:p>
      <w:r>
        <w:t>- 10 - ohne Weiteres als objektiver Massstab taugt. Die Orientierung an den in der Lärmschutzverordnung verankerten Belastungsgrenzwerten (vgl. Anhang 3 Ziff. 2 LSV) ist vorliegend insbesondere auch deshalb nicht zu beanstanden, weil der Mietvertrag selbst unter dem Titel Hausordnung/Lärm einen Verweis auf die Lärmschutzverordnung enthält, worauf im Übrigen auch die Beschwerdeführerin zutreffend hinweist (act. 85 S. 8; vgl. act. 76/4 S. 7).</w:t>
      </w:r>
    </w:p>
    <w:p>
      <w:r>
        <w:rPr>
          <w:b/>
        </w:rPr>
        <w:t>E. 4.5</w:t>
      </w:r>
    </w:p>
    <w:p>
      <w:r>
        <w:t>Ausgehend von der Lärmschutzverordnung hat die Vorinstanz zutreffend festgestellt, dass die für die streitgegenständliche Wohnung (Empfindlichkeitsstu- fe III) geltenden Belastungsgrenzwerte für Strassenverkehrslärm tagsüber 65 De- zibel und nachts 55 Dezibel betragen (Anhang 3 Ziff. 2 LSV). Entgegen der An- sicht der Beschwerdeführerin stellen die auf S. 32 des Berichts der Baudirektion Zürich, Fachstelle Lärmschutz, festgestellten Überschreitungen dieser Immissi- onsgrenzwerte allerdings keinen Nachweis, sondern lediglich ein Indiz für eine mögliche Sanierungsbedürftigkeit der Fenster dar. Denn wie die Beschwerdefüh- rerin selbst ausführt, werden solche Messungen gemäss Lärmschutzverordnung bei offenem Fenster durchgeführt (vgl. Art. 39 Abs. 1 LSV). Deshalb lassen sich daraus keine Rückschlüsse auf die Beschaffenheit und die Dämmungseigen- schaft der Fenster ziehen und sie vermögen keine Grundlage für die Beurteilung der Eigenschaft der Fenster zu bilden. Damit verbleibt hier als Grundlage für die Beurteilung des Vorliegens eines im- missionsbedingten Mangels bzw. der Notwendigkeit eines Fensterersatzes einzig der von der Beschwerdeführerin beantragte Augenschein mit den dabei gemach- ten Wahrnehmungen der Vorinstanz sowie den gemessenen Werten, zumal die Messungen (unter anderem) bei geschlossenen Fenstern und hochgezogenen Rollläden durchgeführt wurden. Die Vorinstanz verwendete für die Messungen ein handelsübliches Schallpegelmessgerät der Marke Voltcraft (Typ SL-10) und führte die Messung in der Mitte der jeweiligen Zimmer mit einem Messintervall von ca. 45-90 Sekunden durch (vgl. act. 75). Die Beschwerdeführerin bemängelt in die- sem Zusammenhang einerseits die Konformität der Messung mit der Lärmschutz- verordnung und andererseits den Umstand, dass es sich um eine Momentauf- nahme handle. Warum konkret die Messung mit dem verwendeten Schallpegel-</w:t>
      </w:r>
    </w:p>
    <w:p>
      <w:r>
        <w:t>- 11 - messgerät und in der beschriebenen Manier nicht aussagekräftig sein soll, ist we- der ersichtlich, noch äussert sich die Beschwerdeführerin konkret dazu, weshalb auch nicht weiter darauf einzugehen ist. Zudem handelt es sich bei den durch die Vorinstanz ermittelten Messwerten zweifellos um eine Momentaufnahme, wobei die Beschwerdeführerin allerdings nicht darlegt, warum diese nicht repräsentativ sein soll. Die Beschwerdeführerin gab bei der Vorinstanz an, der Strassenlärm sei jeweils von Montag bis Samstag von 4.15 Uhr bis 22.00 Uhr, insbesondere zu den Stosszeiten, zu hören (Prot. I S. 11 und S. 14). Die Messungen wurden am Diens- tag, 24. August 2021, zwischen 7.35 Uhr und 8.10 Uhr durchgeführt (vgl. act. 75). Dieser Zeitpunkt entspricht der morgendlichen Hauptverkehrszeit an einem Werk- tag und erweist sich deshalb als besonders geeignet. Dass während dieser Zeit (gleich der abendlichen Hauptverkehrszeit) das grösste Verkehrsaufkommen herrscht und damit die Lärmbelastung am höchsten sein dürfte, entspricht den Aussagen der Beschwerdeführerin und ist notorisch. Tatsächlich war der Verkehr gemäss Wahrnehmungen der vorinstanzlichen Gerichtsbesetzung auch hörbar, was sich ebenfalls in den gemessenen Werten zwischen 39 und 40 Dezibel (bei geschlossenem Fenster) zeigt (vgl. act.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