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PD200011 vom 16. Oktober 2020</w:t>
      </w:r>
    </w:p>
    <w:p>
      <w:r>
        <w:t>ZH Obergericht, 2020-10-16, DE</w:t>
      </w:r>
    </w:p>
    <w:p>
      <w:r>
        <w:rPr>
          <w:b/>
        </w:rPr>
        <w:t xml:space="preserve">Quelle: </w:t>
      </w:r>
      <w:r>
        <w:t>https://mcp.opencaselaw.ch/entscheid/zh_obergericht_PD200011</w:t>
      </w:r>
    </w:p>
    <w:p>
      <w:r>
        <w:t>FR: ZH_OBERGERICHT PD200011 du 16 octobre 2020</w:t>
      </w:r>
    </w:p>
    <w:p>
      <w:r>
        <w:t>IT: ZH_OBERGERICHT PD200011 del 16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die Kündigung vom 2. April 2020 für missbräuchlich bzw. unwirksam zu erklären.</w:t>
      </w:r>
    </w:p>
    <w:p>
      <w:r>
        <w:rPr>
          <w:b/>
        </w:rPr>
        <w:t>E. 1.1</w:t>
      </w:r>
    </w:p>
    <w:p>
      <w:r>
        <w:t>Mit Eingabe vom 7. September 2020 (act. 1) machten die Kläger und Be- schwerdeführer (nachfolgend: Beschwerdeführer) – vertreten durch einen gewis- sen lic. iur. X._____, D._____ [Kanzlei], … [Adresse] – beim Mietgericht Zürich (nachfolgend: Vorinstanz) eine Klage betreffend Kündigungsschutz und Erstre- ckung gegen die Beklagte und Beschwerdegegnerin (nachfolgend: Beschwerde- gegnerin) mit folgenden Rechtsbegehren anhängig:</w:t>
      </w:r>
    </w:p>
    <w:p>
      <w:r>
        <w:rPr>
          <w:b/>
        </w:rPr>
        <w:t>E. 1.2</w:t>
      </w:r>
    </w:p>
    <w:p>
      <w:r>
        <w:t>Mit Zirkulationsbeschluss vom 17. September 2020 (act. 6 = act. 10 [Akten- exemplar]) entschied die Vorinstanz wie folgt:</w:t>
      </w:r>
    </w:p>
    <w:p>
      <w:r>
        <w:rPr>
          <w:b/>
        </w:rPr>
        <w:t>E. 2</w:t>
      </w:r>
    </w:p>
    <w:p>
      <w:r>
        <w:t>Gegebenenfalls sei das Mietverhältnis maximal zu erstrecken.</w:t>
      </w:r>
    </w:p>
    <w:p>
      <w:r>
        <w:rPr>
          <w:b/>
        </w:rPr>
        <w:t>E. 3</w:t>
      </w:r>
    </w:p>
    <w:p>
      <w:r>
        <w:t>Die unentgeltliche Rechtspflege sei meinen Mandanten zuzu- sprechen. - unter Kosten- und Entschädigungsfolgen. Das Gesuch um unentgeltliche Rechtspflege wurde einzig damit begründet, die Beschwerdeführer könnten die Verfahrenskosten nicht bestreiten und die Kla- ge sei nicht aussichtslos (vgl. act. 1 S. 2). In der Klageschrift wurden Beilagen zu diesem Gesuch erwähnt, die jedoch nicht mitgereicht wurden (vgl. act. 1 S. 2 i.V.m. act. 3/1-9). Die von A._____, dem Kläger 1, ausgestellte Vollmacht lautet auf eine Kanzlei namens D._____, welche durch lic. iur. X._____ vertreten werde (vgl. act.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