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PD200007 vom 1. Dezember 2020</w:t>
      </w:r>
    </w:p>
    <w:p>
      <w:r>
        <w:t>ZH Obergericht, 2020-12-01, DE</w:t>
      </w:r>
    </w:p>
    <w:p>
      <w:r>
        <w:rPr>
          <w:b/>
        </w:rPr>
        <w:t xml:space="preserve">Quelle: </w:t>
      </w:r>
      <w:r>
        <w:t>https://mcp.opencaselaw.ch/entscheid/zh_obergericht_PD200007</w:t>
      </w:r>
    </w:p>
    <w:p>
      <w:r>
        <w:t>FR: ZH_OBERGERICHT PD200007 du 1 décembre 2020</w:t>
      </w:r>
    </w:p>
    <w:p>
      <w:r>
        <w:t>IT: ZH_OBERGERICHT PD200007 del 1 dicembre 2020</w:t>
      </w:r>
    </w:p>
    <w:p>
      <w:pPr>
        <w:pStyle w:val="Heading2"/>
      </w:pPr>
      <w:r>
        <w:t>Erwägungen</w:t>
      </w:r>
    </w:p>
    <w:p>
      <w:r>
        <w:rPr>
          <w:b/>
        </w:rPr>
        <w:t>E. 1</w:t>
      </w:r>
    </w:p>
    <w:p>
      <w:r>
        <w:t>A._____ (Klägerin, Beschwerdeführerin und Berufungsklägerin, fortan Klägerin) mietete von B._____ (Beklagte, Beschwerdegegnerin und Berufungsbe- klagte, fortan Beklagte) an der C._____-strasse … in D._____ eine unmöbilierte 3.5-Zimmerwohnung und ein möbiliertes Zimmer zu einem monatlichen Mietzins von Fr. 1'100.– und Fr. 400.–, total Fr. 1'500.–. Aus diesem Mietverhältnis stellte die Klägerin beim Mietgericht des Bezirksgerichtes Winterthur verschiedene An- sprüche gegen die Beklagte. Im Wesentlichen verlangte sie die Behebung diver- ser Mängel und eine angemessene Herabsetzung des Mietzinses (act. 1 und 4/1). Ihrem Gesuch um Verschiebung der Hauptverhandlung vom 22. November 2019 wurde nicht stattgegeben (act. 25), in der Folge blieb die Klägerin der Verhand- lung unentschuldigt fern (Prot. I S. 11). Mit unbegründetem Entscheid vom 22. November 2019 wies die Vorinstanz die Klage ab. Dem Gesuch der Klägerin um Bewilligung der unentgeltlichen Rechtspflege gab sie ferner nicht statt (act. 27). Der auf Verlangen der Klägerin begründete Entscheid ging dieser am 22. Mai 2020 zu (act. 29 und 31, act. 30 = act. 33).</w:t>
      </w:r>
    </w:p>
    <w:p>
      <w:r>
        <w:rPr>
          <w:b/>
        </w:rPr>
        <w:t>E. 2</w:t>
      </w:r>
    </w:p>
    <w:p>
      <w:r>
        <w:t>Hiergegen erhob die Klägerin entsprechend der vorinstanzlichen Rechtsmittelbelehrung (act. 33 Dispositiv-Ziffer 6) mit Eingabe vom 19. Juni 2020 (zur Post gegeben am 22. Juni 2020) fristgerecht Beschwerde mit den eingangs wiedergegebenen Anträgen (act. 34). Die Vorinstanz stellte für die Entscheidgebühr und das zulässige Rechtsmit- tel auf den in vermögensrechtlichen Streitigkeiten insbesondere massgebenden Streitwert ab und setzte diesen aufgrund der Ausführungen der Klägerin auf Fr. 19'750.– fest (act. 15 S. 2, act. 33 S. 7). Die Klägerin will mit ihrem Rechtsmit- tel nebst der Überprüfung der Abweisung ihres Verschiebungsgesuches – diese prozessleitende Verfügung vom 19. November 2019 kann vorliegend mit dem Endentscheid angefochten werden (vgl. Art. 308 und 319 lit. b ZPO) – eine Neu- beurteilung ihrer materiellen Rügen erreichen. Demnach ist von dem durch die Vorinstanz ermittelten Streitwert der Hauptsache auszugehen. Da die Streitwert- grenze Fr. 10'000.– erreicht, ist das richtige Rechtsmittel somit die Berufung (Art. 308 Abs. 2 ZPO).</w:t>
      </w:r>
    </w:p>
    <w:p>
      <w:r>
        <w:t>- 4 - Die Klägerin setzt sich auch gegen die Verweigerung der unentgeltlichen Rechtspflege zur Wehr (act. 34 S. 3). Hiergegen muss separat Beschwerde ge- führt werden (Art. 121 ZPO). Die Rechtsmitteleingabe ist nach ständiger Praxis der Kammer als Berufung und Beschwerde entgegenzunehmen und als das je- weils richtige zu behandeln. Die unzutreffende oder ungenaue Bezeichnung des Rechtsmittels ist somit für die Klägerin nicht nachteilig.</w:t>
      </w:r>
    </w:p>
    <w:p>
      <w:r>
        <w:rPr>
          <w:b/>
        </w:rPr>
        <w:t>E. 3</w:t>
      </w:r>
    </w:p>
    <w:p>
      <w:r>
        <w:t>Die Klägerin beanstandet, dass ihr Verschiebungsgesuch vom 19. November 2019 für die Hauptverhandlung vom 22. November 2019 abgewie- sen wurde. Nachdem ihren Fristerstreckungsgesuchen verschiedentlich stattge- geben worden sei, habe sie darauf vertrauen dürfen, dass auch ihr Gesuch vom 19. November 2019 gutgeheissen würde. Die Verhandlung hätte problemlos ver- schoben werden können, da keine zeitliche Dringlichkeit bestanden habe. Dies zeige sich auch darin, dass ihr der begründete Entscheid erst nach über sechs Monaten zugestellt worden sei. So könne ihr Nichterscheinen am 22. November 2019 nicht im eigentlichen Sinn als unentschuldigt gelten. Da sie vom abschlägi- gen Entscheid keine Kenntnis gehabt habe, sei der angefochtene Entscheid auf- zuheben und die Sache zur Neubeurteilung zurückzuweisen. Die baupolizeiliche Räumung mache deutlich, dass sich das Haus in einem unbewohnbaren Zustand befunden habe (act. 34).</w:t>
      </w:r>
    </w:p>
    <w:p>
      <w:r>
        <w:rPr>
          <w:b/>
        </w:rPr>
        <w:t>E. 4</w:t>
      </w:r>
    </w:p>
    <w:p>
      <w:r>
        <w:t>Gemäss Art. 311 ZPO ist die Berufung bei der Rechtsmittelinstanz (fristgemäss) schriftlich und begründet einzureichen. Dabei ist im Einzelnen dar- zulegen, aus welchen Gründen der angefochtene Entscheid unrichtig ist und des- halb abgeändert werden muss (Begründungslast). Der Berufungskläger muss sich mit den Erwägungen des vorinstanzlichen Entscheides auseinandersetzen; ein blosser Verweis auf die Vorakten genügt nicht. Die Berufung kann daher nicht einzig mit einem Verweis auf die bei der Vorinstanz eingereichten Rechtsschriften bzw. die in jenem Verfahren gemachten Vorbringen begründet werden. Solche Verweisungen sind insbesondere dann unzulässig, wenn sich die Vorinstanz mit den Ausführungen des Berufungsklägers auseinandergesetzt hat (ZK ZPO-Reetz/ Theiler, 3. Aufl., Art. 311 N 36 ff.; Hungerbühler/Bucher, DIKE-Komm-ZPO, 2. A., Art. 311 N 29 ff.). An die Begründung des Rechtsmittels werden bei Laien minima-</w:t>
      </w:r>
    </w:p>
    <w:p>
      <w:r>
        <w:t>- 5 - le Anforderungen gestellt. Es muss jedoch wenigstens rudimentär dargelegt wer- den, an welchen Mängeln der angefochtene Entscheid nach Auffassung der Par- tei leidet (OGer ZH NQ110031 vom 9. August 2011, OGer ZH PF110034 vom 22. August 2011). 5.a) Der Vorwurf der Klägerin, die Abweisung ihres Verschiebungsgesu- ches vom 19. September 2019 durch die Vorinstanz sei treuwidrig, trifft nicht zu. Gemäss Art. 135 ZPO kann das Gericht einen Erscheinungstermin von Amtes wegen oder auf Ersuchen hin aus zureichenden Gründen verschieben. Richtig ist, dass der Klägerin die Frist zur klaren Formulierung und Bezifferung des Rechts- begehrens, zur Angabe des Streitwertes sowie zur Einreichung des Mietvertrages mehrfach erstreckt wurde (act. 5, act. 7-8, act. 11). Daraus konnte die Klägerin aber für künftige Gesuche nichts zu ihren Gunsten ableiten. An die Gründe für die Verschiebung eines gerichtlichen Termins werden regelmässig strengere Anfor- derungen gestellt als an diejenigen für eine Fristerstreckung. Zwar kann auch eine Fristerstreckung nach Art. 144 Abs. 2 ZPO andere involvierte Personen tangieren. Die Verschiebung von Terminen betrifft die weiteren Beteiligten wie die Gegen- partei, Anwälte oder Sachverständige aber weit stärker und erschwert zudem die Gerichtsorganisation.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