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PD200002 vom 3. März 2020</w:t>
      </w:r>
    </w:p>
    <w:p>
      <w:r>
        <w:t>ZH Obergericht, 2020-03-03, DE</w:t>
      </w:r>
    </w:p>
    <w:p>
      <w:r>
        <w:rPr>
          <w:b/>
        </w:rPr>
        <w:t xml:space="preserve">Quelle: </w:t>
      </w:r>
      <w:r>
        <w:t>https://mcp.opencaselaw.ch/entscheid/zh_obergericht_PD200002</w:t>
      </w:r>
    </w:p>
    <w:p>
      <w:r>
        <w:t>FR: ZH_OBERGERICHT PD200002 du 3 mars 2020</w:t>
      </w:r>
    </w:p>
    <w:p>
      <w:r>
        <w:t>IT: ZH_OBERGERICHT PD200002 del 3 marzo 2020</w:t>
      </w:r>
    </w:p>
    <w:p>
      <w:pPr>
        <w:pStyle w:val="Heading2"/>
      </w:pPr>
      <w:r>
        <w:t>Erwägungen</w:t>
      </w:r>
    </w:p>
    <w:p>
      <w:r>
        <w:rPr>
          <w:b/>
        </w:rPr>
        <w:t>E. 2</w:t>
      </w:r>
    </w:p>
    <w:p>
      <w:r>
        <w:t>Mit Eingabe vom 21. Januar 2020 (Eingang 27. Januar 2020) erhob der Be- schwerdeführer Beschwerde gegen diesen Entscheid (act. 2). Er verlangt u.a. dessen Aufhebung, und er erhebt Anspruch auf unentgeltliche Verfahren und so- zialverträgliche Gebührenlasten. Weiter verlangt er, dass ihm als Laien aus sei- nen Rechtsschriften kein Nachteil erwachsen dürfe. Er bezeichnet die von der Vorinstanz angenommene Aussichtslosigkeit als willkürlich konstruiert und als un- genügende Grundlage für einen Kostenvorschuss, den er aufgehoben und even- tualiter reduziert haben will. Weiter verlangt er, die Vorinstanz habe die Hauptver- handlung anzusetzen. Das Obergericht solle alle von der Vorinstanz aufgestellten Prozess- und Verfahrenshindernisse eliminieren. Sodann verlangt er auch für das Beschwerdeverfahren die umfassende unentgeltliche Rechtspflege, alles unter Kosten- und Entschädigungsfolgen zulasten der Gegenparteien. Er selbst bean- sprucht eine Entschädigung für Arbeit, Porti, Material etc. von ca. 467 Franken (act. 2 S. 8/9, Anträge 1–8 sinngemäss und zusammengefasst). Es wurden die vorinstanzlichen Akten beigezogen (act. 5/1–14). Mit Verfügung vom 7. Februar 2020 wurde dem Beschwerdeführer Frist angesetzt, um sich zur Frage der Rechtzeitigkeit der Kündigungsanfechtung / Erstreckung zu äussern (act. 6). Die Verfügung wurde ihm am 17. Februar 2020 zugestellt (act. 7). Seine Stellungnahme erstattete er am 20. Februar 2020 (Poststempel 22. Februar 2020) innert Frist (act. 8). Weiterungen sind nicht notwendig. Das Verfahren ist spruch- reif.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