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PD150008 vom 9. Juli 2015</w:t>
      </w:r>
    </w:p>
    <w:p>
      <w:r>
        <w:t>ZH Obergericht, 2015-07-09, DE</w:t>
      </w:r>
    </w:p>
    <w:p>
      <w:r>
        <w:rPr>
          <w:b/>
        </w:rPr>
        <w:t xml:space="preserve">Quelle: </w:t>
      </w:r>
      <w:r>
        <w:t>https://mcp.opencaselaw.ch/entscheid/zh_obergericht_PD150008</w:t>
      </w:r>
    </w:p>
    <w:p>
      <w:r>
        <w:t>FR: ZH_OBERGERICHT PD150008 du 9 juillet 2015</w:t>
      </w:r>
    </w:p>
    <w:p>
      <w:r>
        <w:t>IT: ZH_OBERGERICHT PD150008 del 9 luglio 2015</w:t>
      </w:r>
    </w:p>
    <w:p>
      <w:pPr>
        <w:pStyle w:val="Heading2"/>
      </w:pPr>
      <w:r>
        <w:t>Erwägungen</w:t>
      </w:r>
    </w:p>
    <w:p>
      <w:r>
        <w:rPr>
          <w:b/>
        </w:rPr>
        <w:t>E. 1</w:t>
      </w:r>
    </w:p>
    <w:p>
      <w:r>
        <w:t>Mit Eingabe vom 26. März 2015 (act. 1) beantragte der Mieter, Kläger und Beschwerdeführer (fortan Mieter) im Zusammenhang mit einer von ihm gemiete- ten "Garage + Bastelraum/Lager" an der C._____-Strasse ... in Zürich bei der Vo- rinstanz (unter Einreichung der Klagebewilligung der Schlichtungsbehörde Zürich vom 12. März 2015, act. 4) unter anderem: Es sei die Beklagte zu verpflichten, dem Kläger die Schlüssel in der Stan- dartanzahl von jeweils drei Stück pro Zylinder auszuhändigen. Es sei die Beklagte zu verpflichten, dem Kläger die Kosten für Sicherungsma- terial ("Lichtschachtgitterverankerungssystem") zu bezahlen. Sein weiterer Antrag in jenem Schreiben (Anfechtung Anfangsmietzins) fand Ein- gang in ein zweites mietgerichtliches Verfahren mit der Verfahrensnummer ME150001-L. Mit Verfügung vom 8. April 2015 stellte die Vorinstanz die Klage samt Beilagen der Vermieterin, Beklagten und Beschwerdegegnerin (fortan Ver- mieterin) zu, verlangte vom Mieter die Bezifferung des Streitwertes und setzte beiden Parteien eine 10tägige Frist an, um sich zur aus Sicht der Vorinstanz frag- lichen sachlichen Zuständigkeit zu äussern (act. 7). Mit Schreiben vom 9. April 2015 erklärte der Mieter, der Streitwert betrage Fr. 20.– (Kosten für Lichtschacht- gitterverankerung) und die fraglichen Schlüssel habe er inzwischen erhalten (act. 10). Eine Stellungnahme zur Frage des sachlichen Zuständigkeit ging von keiner der Parteien ein. In der Folge erwog die Vorinstanz, zwar habe der Mieter auf dem Klageformular in der Rubrik Mietobjekt das Feld "Geschäftsräume" angekreuzt, doch habe er unter Gebrauchszweck "Garage + Bastelraum / Lager" angegeben und in der Kurzbe- gründung ausgeführt, er habe das Mietobjekt aus einer persönlichen Notlage her- aus (Wohnungsverlust, Arbeitsverlust) mieten müssen und dort nur seine Sachen gelagert (act. 1, vgl. auch act. 3/1+2). Sowohl das Formular als auch die Bezeich- nung des Mietobjekts und der Benützungsart sprächen, zusammen mit der Tatsa- che, dass sich der Mieter auf entsprechende Aufforderung hin nicht anderweitig</w:t>
      </w:r>
    </w:p>
    <w:p>
      <w:r>
        <w:t>- 3 - geäussert habe, dafür, dass es sich beim fraglich Mietobjekt weder um Wohn- noch um Geschäftsräumlichkeiten handle, womit die Streitsache nicht in den Zu- ständigkeitsbereich des Mietgerichtes falle. Gestützt auf diese Erwägungen ver- fügte die Vorinstanz am 4. Mai 2015 das Folgende (act. 11 = act.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