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PD140002 vom 25. März 2014</w:t>
      </w:r>
    </w:p>
    <w:p>
      <w:r>
        <w:t>ZH Obergericht, 2014-03-25, DE</w:t>
      </w:r>
    </w:p>
    <w:p>
      <w:r>
        <w:rPr>
          <w:b/>
        </w:rPr>
        <w:t xml:space="preserve">Quelle: </w:t>
      </w:r>
      <w:r>
        <w:t>https://mcp.opencaselaw.ch/entscheid/zh_obergericht_PD140002</w:t>
      </w:r>
    </w:p>
    <w:p>
      <w:r>
        <w:t>FR: ZH_OBERGERICHT PD140002 du 25 mars 2014</w:t>
      </w:r>
    </w:p>
    <w:p>
      <w:r>
        <w:t>IT: ZH_OBERGERICHT PD140002 del 25 marzo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Prozessgeschichte, Beschwerdeanträge Auf Gesuch der Beklagten und Beschwerdegegnerin (im Folgenden: Beschwer- degegnerin) stellte das Betreibungsamt Dübendorf am 21. September 2012 einen Zahlungsbefehl gegen den Kläger und Beschwerdeführer (im Folgenden: Be- schwerdeführer) für eine Forderung von CHF 10'738.00 nebst Zins zu 5% seit</w:t>
      </w:r>
    </w:p>
    <w:p>
      <w:r>
        <w:rPr>
          <w:b/>
        </w:rPr>
        <w:t>E. 5</w:t>
      </w:r>
    </w:p>
    <w:p>
      <w:r>
        <w:t>Prozesskosten Die Kosten dieses Verfahrens sind dem Beschwerdeführer aufzuerlegen (Art. 106 Abs. 1 ZPO). Die Gerichtsgebühr ist auf CHF 500.00 festzusetzen (§§ 4 Abs. 1 und 2 sowie 12 Abs. 1 GebV OG). Parteientschädigungen sind nicht zuzuspre- chen. Dem Beschwerdeführer nicht, weil er unterliegt, der Beschwerdegegnerin nicht, weil ihr kein Aufwand entstanden ist.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