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PC250035 vom 18. September 2025</w:t>
      </w:r>
    </w:p>
    <w:p>
      <w:r>
        <w:t>ZH Obergericht, 2025-09-18, DE</w:t>
      </w:r>
    </w:p>
    <w:p>
      <w:r>
        <w:rPr>
          <w:b/>
        </w:rPr>
        <w:t xml:space="preserve">Quelle: </w:t>
      </w:r>
      <w:r>
        <w:t>https://mcp.opencaselaw.ch/entscheid/zh_obergericht_PC250035</w:t>
      </w:r>
    </w:p>
    <w:p>
      <w:r>
        <w:t>FR: ZH_OBERGERICHT PC250035 du 18 septembre 2025</w:t>
      </w:r>
    </w:p>
    <w:p>
      <w:r>
        <w:t>IT: ZH_OBERGERICHT PC250035 del 18 settembre 2025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 2025 zu Recht von der Aussichtslosigkeit der Abänderungsklage ausge- gangen ist (Urk. 2 S. 27 f.). Die entsprechenden Rügen des Klägers (Urk. 1 S. 6 f. und S. 9) sind folglich nicht zu prüfen.</w:t>
      </w:r>
    </w:p>
    <w:p>
      <w:r>
        <w:t>- 9 - 6. Nach dem Gesagten ist die Beschwerde gutzuheissen und die vorinstanzliche Verfügung vom 10. April 2025 betreffend den Entzug der unentgeltlichen Rechts- pflege und die Abbestellung von Rechtsanwältin lic. iur. X1._____ als unentgeltli- che Rechtsbeiständin (Urk. 2) ist aufzuheben. Entsprechend der vorinstanzlichen Verfügung vom 11. September 2024 (Urk. 7/23) ist die unentgeltliche Rechtspflege nach wie vor wirksam und die unentgeltliche Rechtsverbeiständung bleibt beste- hen.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