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PC250031 vom 18. Juli 2025</w:t>
      </w:r>
    </w:p>
    <w:p>
      <w:r>
        <w:t>ZH Obergericht, 2025-07-18, DE</w:t>
      </w:r>
    </w:p>
    <w:p>
      <w:r>
        <w:rPr>
          <w:b/>
        </w:rPr>
        <w:t xml:space="preserve">Quelle: </w:t>
      </w:r>
      <w:r>
        <w:t>https://mcp.opencaselaw.ch/entscheid/zh_obergericht_PC250031</w:t>
      </w:r>
    </w:p>
    <w:p>
      <w:r>
        <w:t>FR: ZH_OBERGERICHT PC250031 du 18 juillet 2025</w:t>
      </w:r>
    </w:p>
    <w:p>
      <w:r>
        <w:t>IT: ZH_OBERGERICHT PC250031 del 18 luglio 2025</w:t>
      </w:r>
    </w:p>
    <w:p>
      <w:pPr>
        <w:pStyle w:val="Heading2"/>
      </w:pPr>
      <w:r>
        <w:t>Erwägungen</w:t>
      </w:r>
    </w:p>
    <w:p>
      <w:r>
        <w:rPr>
          <w:b/>
        </w:rPr>
        <w:t>E. 9</w:t>
      </w:r>
    </w:p>
    <w:p>
      <w:r>
        <w:t>November 2023 E. 2.b, m.w.H.). 4.1. Rechtsverzögerung ist nicht allein deshalb zu bejahen, weil ein Verfahren län- gere Zeit in Anspruch genommen hat (BGer 5A_339/2016 vom 27. Januar 2017 E. 2.2, m.w.H.). Aus dem Umstand, dass das Scheidungsverfahren bereits seit Fe- bruar 2023 anhängig ist, kann daher nicht auf eine Rechtsverzögerung geschlos- sen werden. Die Vorinstanz hat das Verfahren bis anhin auch nicht während länge- rer Zeit ohne sichtbare Prozesshandlungen liegengelassen. So setzte die Vor- instanz Fristen jeweils zeitnah nach Erhalt einer Rechtsschrift oder der Rückmel- dung der Parteien, dass Vergleichsbemühungen gescheitert seien, an. Auch die Verhandlungstermine wurden jeweils innert angemessener Frist angesetzt: Die Vorladung zur Einigungsverhandlung erfolgte am 21. Februar 2023, mithin rund zwei Wochen nach Eingang der Scheidungsklage des Klägers, auf den 12. Mai 2023 (Urk. 3/6). Zur Hauptverhandlung vom 9. April 2025 wurde am 20. Januar</w:t>
      </w:r>
    </w:p>
    <w:p>
      <w:r>
        <w:t>- 7 - 2025 und damit 24 Tage nach Erhalt der Duplikschrift vorgeladen (Urk. 3/53). Ter- minabsprachen für Verhandlungen sind erfahrungsgemäss nicht einfach, wenn auf beiden Seiten Rechtsanwälte involviert sind. So ist es durchaus üblich, dass ein Verhandlungstermin erst in zwei oder drei Monaten anberaumt werden kann. Eine kürzere Frist kann sich allenfalls bei besonders dringendem Regelungsbedarf na- mentlich im Bereich der Kinderbelange aufdrängen. Im vorliegenden Scheidungs- verfahren, indem nebst dem Scheidungspunkt lediglich die vermögensrechtlichen Angelegenheiten der Parteien (nachehelicher Unterhalt, Vorsorgeausgleich, Güter- recht) zu regeln sein werden, war ein besonders dringender Regelungsbedarf je- doch nicht gegeben. 4.2. In erstinstanzlichen Gerichtsverfahren praxisgemäss üblich ist sodann, dass den Parteien für ihre Klagebegründung- und Klageantwortschrift auf Ersuchen hin eine zweimalige Fristerstreckung gewährt wird, sofern dafür zureichende Gründe gegeben sind (OGer ZH PC220056 vom 9. Januar 2023 E. 2.b). Lehre und Recht- sprechung qualifizieren unter anderem (Büro)Abwesenheit, Arbeitsüberlastung, zeitliche Engpasse und Komplexität der Sachlage als zureichend (BSK ZPO-Benn, Art. 144 N 8 und N 10; CHK ZPO-Sutter-Somm/Seiler, Art. 144 N 10; je m.w.H.). Vorliegend begründete die Rechtsvertreterin der Beklagten ihr erstes Gesuch um Erstreckung der Frist zur Einreichung der Klageantwort vom 8. Januar 2024 mit Feiertagen, Ferien sowie anderen nicht aufschiebbaren Terminen im Dezember 2023 (Urk. 3/27). Zur Begründung ihres zweiten Gesuchs vom 25. Januar 2024 führte sie aus, dass sie die von der Beklagten erforderlichen Unterlagen noch nicht habe erhältlich machen können (Urk. 3/28). Der Vorinstanz kann daher nicht vor- geworfen werden, die beantragten Fristerstreckungen zu Unrecht gewährt zu ha- ben, zumal dem Kläger ebenfalls eine zweimalige Fristerstreckung für die Erstat- tung der Klagebegründung gewährt wurde (Urk. 3/13; Urk. 3/16). Da diese Frist in die Sommergerichtsferien 2023 fiel, standen dem Kläger insgesamt 133 Tage zur Verfügung, um die Klagebegründung zu erarbeiten. Die Fristerstreckungen der Be- klagten führten hingegen lediglich zu 77 Tagen für die Ausarbeitung der Klageant- wort. Dass der erste Schriftenwechsel erst elf Monate nach Eingang der Klage ab-</w:t>
      </w:r>
    </w:p>
    <w:p>
      <w:r>
        <w:t>- 8 - geschlossen werden konnte, hat somit der Kläger zu einem grossen Teil selbst zu verantworten. Das erste Fristerstreckungsgesuch für die Erstattung der Duplik vom 28. Oktober 2024 begründete die Beklagte mit weiteren Terminen und Fristen sowie dem Um- fang der Replikschrift und der Notwendigkeit einer weiteren Besprechung mit der Beklagten (Urk. 3/49). Zur Begründung des zweiten Gesuchs vom 5. Dezember 2024 führte sie erneut den Umfang der Replikschrift sowie andere Verhandlungs- termine und Fristen auf (Urk. 3/50). Auch damit lagen zureichende Gründe im Sinne von Art. 144 Abs. 2 ZPO vor. Angesichts des Umfangs der Replikschrift von 47 Seiten und 70 Beilagen (Urk. 3/45; Urk. 4/46/55–124) und da dem Kläger ebenfalls eine Fristerstreckung für die Replik gewährt wurde, was dazu führte, dass ihm – wiederum unter Berücksichtigung der Sommergerichtsferien – 71 Tage zur Erar- beitung dieser Schrift zur Verfügung standen, ist die der Beklagten gewährten Er- streckung um insgesamt 70 Tage ebenfalls nicht zu beanstanden. 4.3. Weiter ist auch keine Rechtsverzögerung darin zu erblicken, dass die Vor- instanz trotz gescheiterter Einigungsverhandlung vom 12. Mai 2023 weitere Male zu Vergleichsgesprächen anregte. Der Kläger bzw. dessen Rechtsvertretung stimmte nach Durchführung des ersten Schriftenwechsels am 8. März 2024 aus- sergerichtlichen Gesprächen zu (Urk. 3/36), sodass er die damit verbundene Ver- zögerung selbst zu verantworten hat. Nach Mitteilung vom 24. Juni 2024, dass die Gespräche gescheitert seien, setzte die Vorinstanz zeitnah mit Verfügung vom</w:t>
      </w:r>
    </w:p>
    <w:p>
      <w:r>
        <w:rPr>
          <w:b/>
        </w:rPr>
        <w:t>E. 11</w:t>
      </w:r>
    </w:p>
    <w:p>
      <w:r>
        <w:t>Juli 2024 Frist zur schriftlichen Replik an. Auch dass sie Mitte Mai 2025 nach durchgeführter ersten Hauptverhandlung und erneut gescheiterten Vergleichsge- sprächen die Parteien nochmals zur Einigung ermutigte, nachdem sie den Eindruck gewann, dass die Parteien nicht mehr weit auseinanderlägen (Urk. 3/59A; Urk. 3/66), ist nicht zu beanstanden, zumal die Vorinstanz in derselben E-Mail be- reits in Aussicht stellte, andernfalls Ende Mai/Anfang Juni 2025 mit der Terminie- rung für die Fortsetzung der Hauptverhandlung zu beginnen (Urk. 3/59A). Der Vor- instanz kann auch in diesem Zusammenhang keine Rechtsverzögerung zum Vor- wurf gemacht werden.</w:t>
      </w:r>
    </w:p>
    <w:p>
      <w:r>
        <w:t>- 9 - 4.4. Aus den vorinstanzlichen Akten ergibt sich sodann, dass der Kläger zeitgleich mit der Einreichung der vorliegenden Beschwerde bei der Vorinstanz Anträge um Abänderung der Eheschutzmassnahmen stellte (Urk. 3/60), was nicht zu einem ra- schen Verfahrensabschluss beitragen dürfte. Die Vorinstanz hat diesbezüglich be- reits am 26. Juni 2025 auf den 17. September 2025 zur Verhandlung betreffend vorsorgliche Massnahmen vorgeladen (Urk. 3/73), was mangels besonderer Dring- lichkeit der Anträge des Klägers vertretbar ist. Ferner hat sie ihm Rahmen des Hauptverfahrens der Beklagten mit Verfügung vom 25. Juni 2025 (Urk. 3/70) Frist zur Stellungnahme zu den Anträgen des Klägers gemäss seiner E-Mail vom 22. Mai 2025 (Urk. 3/59A) bzw. schriftlichen Eingabe vom 25. Juni 2025 (Urk. 3/68) ange- setzt. 4.5. Nach dem Gesagten hat die Vorinstanz das Scheidungsverfahren bisher be- förderlich behandelt. Es ist in keinem Verfahrensabschnitt eine Rechtsverzögerung ersichtlich, sodass auch kein Anlass besteht, der Vorinstanz Frist zur Beendigung des Prozesses anzusetzen. 4.6. Schliesslich ist betreffend Beschwerdeantrag Nr. 3 darauf hinzuweisen, dass die Rechtsverzögerungsbeschwerde nicht dazu dient, der Vorinstanz Anweisungen betreffend die Anwendung des materiellen Rechts zu erteilen. Eine falsche Rechtsanwendung wäre mit dem Rechtsmittel gegen den Endentscheid zu rügen (vgl. Art. 310 lit. a ZPO). 4.7. Zusammengefasst erweist sich die Rechtsverzögerungsbeschwerde damit als offensichtlich unbegründet, weshalb sie abzuweisen ist, soweit überhaupt dar- auf einzutreten ist. 5. Die Entscheidgebühr für das Beschwerdeverfahren ist gestützt auf § 9 und § 12 GebV OG auf Fr. 1'000.– festzusetzen. Ausgangsgemäss ist sie dem Kläger aufzuerlegen (Art. 106 Abs. 1 ZPO). Für das Beschwerdeverfahren sind keine Par- teientschädigungen zuzusprechen; dem Kläger infolge seines Unterliegens, der Beklagten mangels relevanter Umtriebe (vgl. Art. 106 Abs. 1 ZPO und Art. 95 Abs. 3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