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PC250012 vom 7. Mai 2025</w:t>
      </w:r>
    </w:p>
    <w:p>
      <w:r>
        <w:t>ZH Obergericht, 2025-05-07, DE</w:t>
      </w:r>
    </w:p>
    <w:p>
      <w:r>
        <w:rPr>
          <w:b/>
        </w:rPr>
        <w:t xml:space="preserve">Quelle: </w:t>
      </w:r>
      <w:r>
        <w:t>https://mcp.opencaselaw.ch/entscheid/zh_obergericht_PC250012</w:t>
      </w:r>
    </w:p>
    <w:p>
      <w:r>
        <w:t>FR: ZH_OBERGERICHT PC250012 du 7 mai 2025</w:t>
      </w:r>
    </w:p>
    <w:p>
      <w:r>
        <w:t>IT: ZH_OBERGERICHT PC250012 del 7 maggio 2025</w:t>
      </w:r>
    </w:p>
    <w:p>
      <w:pPr>
        <w:pStyle w:val="Heading2"/>
      </w:pPr>
      <w:r>
        <w:t>Erwägungen</w:t>
      </w:r>
    </w:p>
    <w:p>
      <w:r>
        <w:rPr>
          <w:b/>
        </w:rPr>
        <w:t>E. 2</w:t>
      </w:r>
    </w:p>
    <w:p>
      <w:r>
        <w:t>Ev. zu vorgenannter Ziff. 1 sei der vorliegenden Beschwerde inso- fern die aufschiebende Wirkung zu erteilen, dass die Abklärungen des Kindsvertreters im Umfeld des Kindes einstweilen auf die El- tern und C._____ zu beschränken ist.</w:t>
      </w:r>
    </w:p>
    <w:p>
      <w:r>
        <w:rPr>
          <w:b/>
        </w:rPr>
        <w:t>E. 3</w:t>
      </w:r>
    </w:p>
    <w:p>
      <w:r>
        <w:t>Die Verfügung vom 6. März 2025 sei aufzuheben und die Sache im Sinne der oberinstanzlichen Erwägungen an die Vorinstanz zu- rückzuweisen.</w:t>
      </w:r>
    </w:p>
    <w:p>
      <w:r>
        <w:rPr>
          <w:b/>
        </w:rPr>
        <w:t>E. 4</w:t>
      </w:r>
    </w:p>
    <w:p>
      <w:r>
        <w:t>Der Kläger rügt zusammengefasst, bei der Einsetzung eines Kindsvertreters handle es sich um eine Kindesschutzmassnahme. Solche Massnahmen seien nur bei Notwendigkeit und mit entsprechender Zurückhaltung anzuordnen (Urk. 1 Rz. 27). Die Vorinstanz behaupte lapidar, Differenzen der Parteien hinsichtlich der Kinderbelange und ein möglicher Loyalitätskonflikt würden ausreichen, um eine Kindsvertretung bereits vor der ersten Verhandlung, vor Kenntnis der Anträge und vor der Befragung der Parteien zu bestellen. Dabei verkenne die Vorinstanz, dass Kindsvertreter eben gerade nicht regelmässig ohne hinreichende Notwendigkeit bestellt werden sollten und die vorinstanzlichen Vermutungen zu den Differenzen und dem Loyalitätskonflikt nicht ausreichten. Differenzen betreffend Kinderbelange seien in Scheidungsverfahren notorisch, ebenso ein gewisses Mass an Loyalitäts- konflikt des Kindes, weshalb nach Dafürhalten der Vorinstanz also nahezu ebenso notorisch immer eine Kindsvertretung bestellt werden müsste. Dies sei unange- messen und rechtswidrig. Hätte der Gesetzgeber dies gewollt, stünde es auch so unmissverständlich im Gesetz, was nicht der Fall sei (Urk. 1 Rz. 31). In Bezug auf den nicht leicht wiedergutzumachenden Nachteil macht der Kläger geltend, C._____ würde durch die Einsetzung einer Kindsvertretung unnötig belas- tet. Er solle weitestgehend aus der Sache rausgehalten und nicht ohne Not mit Themen belastet werden, welche den elterlichen Streit beträfen (Urk. 1 Rz. 14 f.). Die Vorinstanz verkenne sodann, dass je mehr Personen sich C._____ anvertrauen müsse, desto grösser auch die Wirkung für ihn sei, weshalb sein Loyalitätskonflikt nicht reduziert, sondern verschärft werde (Urk. 1 Rz. 22). Nicht ausser Acht zu las- sen sei insbesondere die Tatsache, dass C._____ am Ende der 5. Klasse und somit vor wichtigen schulischen Weichenstellungen stehe, welche durch seine Lehrer be- einflusst würden. Daher könne sich der vermeidbare Einbezug der Lehrer durch einen Kindsvertreter negativ auf diesen Entscheid auswirken, was nur in entspre- chend gravierenden Fällen in Kauf zu nehmen sei (Urk. 1 Rz. 25). Es sei nicht er-</w:t>
      </w:r>
    </w:p>
    <w:p>
      <w:r>
        <w:t>- 6 - sichtlich, weshalb die Bestellung eines Kindsvertreters im aktuellen Stadium des Verfahrens angezeigt oder nötig sein solle. Vielmehr sei der milderen Massnahme, nämlich einer Ergänzung der Kindsanhörung samt Protokollierung, der Vorrang zu geben (Urk. 1 Rz. 32). 5.1 Die angefochtene Verfügung vom 6. März 2025 betreffend Einsetzung einer Kindsvertretung ist prozessleitender Natur. Gegen prozessleitende Verfügungen ist die Beschwerde – von den hier nicht einschlägigen, im Gesetz explizit vorgesehe- nen Fällen (Art. 319 lit. b Ziff. 1 ZPO) abgesehen – nur zulässig, wenn durch sie der beschwerdeführenden Partei ein nicht leicht wiedergutzumachender Nachteil droht (Art. 319 lit. b Ziff. 2 ZPO). Ein solcher Nachteil ist ohne Weiteres anzuneh- men, wenn er auch durch einen für den Ansprecher günstigen Endentscheid nicht mehr beseitigt werden kann. Indes ist bei der Annahme eines drohenden, nicht leicht wiedergutzumachenden Nachteils grundsätzlich Zurückhaltung angebracht. Der Gesetzgeber hat die selbstständige Anfechtung gewöhnlicher Inzidenzent- scheide absichtlich erschwert, denn der Gang des Prozesses sollte nicht unnötig verzögert werden (Botschaft ZPO, BBl 2006, 7221 ff., 7377). Gemäss Art. 299 Abs. 1 ZPO ordnet das Gericht – wenn nötig – die Vertretung des Kindes an. Das Gericht hat diesen Entscheid nach pflichtgemässem Ermessen un- ter Abwägung aller Gegebenheiten des Einzelfalles zu treffen (BGer 4A_403/2018 vom 23. Oktober 2018 E. 4.1.2. f.). Unter anderem ist die Kindsvertretung zu prü- fen, wenn die Eltern unterschiedliche Anträge zu den Kinderbelangen stellen (Art. 299 Abs. 2 ZPO). Im Lichte der für Kinderbelange geltenden strengen Unter- suchungsmaxime und der Offizialmaxime (Art. 296 ZPO) ist eine Kindsvertretung grundsätzlich aber nur notwendig, wenn sie dem Gericht effektiv zusätzliche Unter- stützung und Entscheidhilfen bieten kann bei der Frage, ob im jeweiligen Einzelfall das Kindeswohl eine bestimmte Regelung oder Massnahme (Sorgerecht, Obhut oder persönlicher Verkehr) erfordert oder einer solchen entgegensteht (BGE 142 III 153 E. 5.1.2). 5.2 Wie der Kläger zu Recht vorbringt, lagen zum Zeitpunkt der Einsetzung des Kindsvertreters noch keine unterschiedlichen Anträge der Parteien vor. Gleichzeitig führt er aber aus, dass eine Einigungsverhandlung nutzlos sei, da "nicht ansatz-</w:t>
      </w:r>
    </w:p>
    <w:p>
      <w:r>
        <w:t>- 7 - weise" an eine Einigung zu denken sei (Urk. 1 Rz. 54). Aus der Beschwerdeschrift sowie den weiteren Eingaben des Klägers geht eindeutig hervor, dass die Parteien stark zerstritten sind, was sich inzwischen auch auf C._____s schulische Leistun- gen sowie sein Verhalten in der Schule als auch im Fussballtraining auszuwirken scheint (Urk. 5 S. 1 sowie S. 3 ff., Urk. 7/6-7, Urk. 13/1). Der Kläger selbst spricht von einer Eskalation der Situation und dass er gegen die Beklagte Strafanzeige erhoben hatte (Urk. 1 Rz. 35, Rz. 50). Die Beklagte ihrerseits erwirkte Gewalt- schutzmassnahmen gegen den Kläger (Urk. 9/1-2 sowie 13/2). Insofern ist nicht zu beanstanden, dass die Vorinstanz die Anordnung einer Kindsvertretung bereits ge- prüft hat. Da C._____ in der Kindsanhörung offenbar Aussagen machte, die aber vertraulich bleiben sollten, ist auch nicht zu beanstanden, dass die Vorinstanz es als notwendig erachtete, die Ansichten des mittlerweile zwölfjährigen und urteilsfä- higen (so auch der Kläger) C._____ anderweitig in das Verfahren einzubringen. Es ist angesichts der stark zerstrittenen Eltern nicht anzunehmen, dass sie dieser Auf- gabe selbst – und von ihren eigenen Interessen losgelöst – genügend nachkommen können. Nachdem C._____ gewünscht hat, die Kindsanhörung solle vertraulich bleiben, ist es auch nicht angezeigt, diese zu wiederholen und zu versuchen, C._____ dazu zu bewegen, die Vertraulichkeit aufzuheben. Dies widerspräche sei- nem offensichtlich klar geäusserten Willen und ist zu unterlassen. Damit erscheint die Anordnung einer Kindsvertretung mit der Vorinstanz als notwendig. Die Be- schwerde gegen die Bestellung des Kindsvertreters ist nach dem Gesagten unbe- gründet und abzuweisen.</w:t>
      </w:r>
    </w:p>
    <w:p>
      <w:r>
        <w:rPr>
          <w:b/>
        </w:rPr>
        <w:t>E. 6</w:t>
      </w:r>
    </w:p>
    <w:p>
      <w:r>
        <w:t>Da der Kläger wiederholt nicht gültig signierte Eingaben per E-Mail machte (vgl. Urk. 5-A, Urk. 12 sowie Urk. 15) ist er abschliessend darauf hinzuweisen, dass Eingaben ans Gericht gemäss Art. 130 ZPO entweder in Papierform und unter- schrieben oder elektronisch mit einer qualifizierten elektronischen Signatur zu er- folgen haben und künftige (auch in den weiteren an der hiesigen Instanz hängigen Verfahren [LY250013-O sowie PC250022-O]) mangelhafte Eingaben unbeachtet bleiben.</w:t>
      </w:r>
    </w:p>
    <w:p>
      <w:r>
        <w:rPr>
          <w:b/>
        </w:rPr>
        <w:t>E. 7</w:t>
      </w:r>
    </w:p>
    <w:p>
      <w:r>
        <w:t>In Anwendung von § 5 Abs. 1, § 6 Abs. 1, § 8 Abs. 1, § 9 Abs. 1, § 10 Abs. 1 sowie § 12 Abs. 1 und 2 Gebührenverordnung des Obergerichts des Kantons Zü-</w:t>
      </w:r>
    </w:p>
    <w:p>
      <w:r>
        <w:t>- 8 - rich (GebV OG) rechtfertigt es sich, die Entscheidgebühr für das Beschwerdever- fahren auf Fr. 500.– festzusetzen. Die Gerichtskosten des Beschwerdeverfahrens sind ausgangsgemäss dem Kläger aufzuerlegen (Art. 106 Abs. 1 ZPO). Für das Beschwerdeverfahren sind keine Parteientschädigungen zuzusprechen, dem Kläger zufolge seines Unterliegens, der Beklagten mangels relevanter Um- triebe (Art. 95 Abs. 3 sowie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