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PC250003 vom 10. Februar 2025</w:t>
      </w:r>
    </w:p>
    <w:p>
      <w:r>
        <w:t>ZH Obergericht, 2025-02-10, DE</w:t>
      </w:r>
    </w:p>
    <w:p>
      <w:r>
        <w:rPr>
          <w:b/>
        </w:rPr>
        <w:t xml:space="preserve">Quelle: </w:t>
      </w:r>
      <w:r>
        <w:t>https://mcp.opencaselaw.ch/entscheid/zh_obergericht_PC250003</w:t>
      </w:r>
    </w:p>
    <w:p>
      <w:r>
        <w:t>FR: ZH_OBERGERICHT PC250003 du 10 février 2025</w:t>
      </w:r>
    </w:p>
    <w:p>
      <w:r>
        <w:t>IT: ZH_OBERGERICHT PC250003 del 10 febbraio 2025</w:t>
      </w:r>
    </w:p>
    <w:p>
      <w:pPr>
        <w:pStyle w:val="Heading2"/>
      </w:pPr>
      <w:r>
        <w:t>Erwägungen</w:t>
      </w:r>
    </w:p>
    <w:p>
      <w:r>
        <w:rPr>
          <w:b/>
        </w:rPr>
        <w:t>E. 1.1</w:t>
      </w:r>
    </w:p>
    <w:p>
      <w:r>
        <w:t>Die Parteien stehen sich vor dem Einzelgericht des Bezirksgerichts Bülach (nachfolgend Vorinstanz) in einem Ehescheidungsverfahren gegenüber. Am 23. Dezember 2024 ist bei der Vorinstanz (unaufgefordert) eine Eingabe des Be- klagten und Beschwerdeführers (nachfolgend Beschwerdeführer) eingegangen (act. 5/258/1–7). Mit Verfügung vom 23. Dezember 2024 erwog die Vorinstanz, dass die Eingabe des Beschwerdeführers ohne Weiterungen zu den Akten ge- nommen werde (act. 5/259 = act. 4).</w:t>
      </w:r>
    </w:p>
    <w:p>
      <w:r>
        <w:rPr>
          <w:b/>
        </w:rPr>
        <w:t>E. 1.2</w:t>
      </w:r>
    </w:p>
    <w:p>
      <w:r>
        <w:t>Dagegen erhob der Beschwerdeführer mit Eingabe vom 17. Januar 2025 (Datum Poststempel) "Einsprache" bei der Kammer (act. 2). Die vorinstanzlichen Akten wurden beigezogen (act. 5–6). Das Verfahren ist spruchreif.</w:t>
      </w:r>
    </w:p>
    <w:p>
      <w:r>
        <w:rPr>
          <w:b/>
        </w:rPr>
        <w:t>E. 2.1</w:t>
      </w:r>
    </w:p>
    <w:p>
      <w:r>
        <w:t>Bei der Verfügung der Vorinstanz vom 23. Dezember 2024 handelt es sich um eine prozessleitende Verfügung im Sinne von Art. 124 Abs. 1 ZPO. Die Be- schwerde ist daher nur zulässig, wenn der beschwerdeführenden Partei infolge der angefochtenen prozessleitenden Verfügung ein nicht leicht wieder gutzuma- chender Nachteil droht (vgl. Art. 319 lit. b Ziff. 2 ZPO). Fehlt die Rechtsmittelvor- aussetzung des drohenden, nicht leicht wieder gutzumachenden Nachteils, so ist auf die Beschwerde nicht einzutreten. Das Bestehen der Gefahr eines solchen Nachteils ist in der Beschwerde geltend zu machen, das heisst zu behaupten und nachzuweisen, soweit die Gefahr nicht von vornherein offenkundig ist (vgl. ZR 112/2013 Nr. 52). Grundsätzlich ist bei der Annahme eines drohenden, nicht leicht wieder gutzumachenden Nachteils Zurückhaltung angebracht. Der Aus- schluss der Beschwerde gegen solche Entscheide ist die gesetzliche Regel, die Zulässigkeit der Beschwerde die Ausnahme (vgl. OGer ZH RB160036 vom 20. Januar 2017 E. 3.2.).</w:t>
      </w:r>
    </w:p>
    <w:p>
      <w:r>
        <w:rPr>
          <w:b/>
        </w:rPr>
        <w:t>E. 2.2</w:t>
      </w:r>
    </w:p>
    <w:p>
      <w:r>
        <w:t>Der Beschwerdeführer äussert sich in seiner Eingabe mit keinem Wort dazu, inwiefern ihm durch die Verfügung der Vorinstanz vom 23. Dezember 2024 ein nicht leicht wiedergutzumachender Nachteil drohe. Das Vorliegen eines sol-</w:t>
      </w:r>
    </w:p>
    <w:p>
      <w:r>
        <w:t>- 3 - chen Nachteils ist auch nicht offenkundig, zumal in der Verfügung nichts zu Un- gunsten des Beschwerdeführers entschieden worden ist. Auf die Beschwerde ist entsprechend nicht einzutreten.</w:t>
      </w:r>
    </w:p>
    <w:p>
      <w:r>
        <w:rPr>
          <w:b/>
        </w:rPr>
        <w:t>E. 3</w:t>
      </w:r>
    </w:p>
    <w:p>
      <w:r>
        <w:t>Ausgangsgemäss würde der Beschwerdeführer kostenpflichtig (Art. 106 Abs. 1 ZPO). Umständehalber ist indes auf eine Kostenfestsetzung und -auferle- gung zu verzichten. Parteientschädigungen sind keine zuzusprechen, dem Be- schwerdeführer nicht zu Folge seines Unterliegens, der Klägerin und Beschwer- degegnerin nicht mangels Aufwendungen im vorliegenden Verfahren.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