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PC240008 vom 15. Mai 2024</w:t>
      </w:r>
    </w:p>
    <w:p>
      <w:r>
        <w:t>ZH Obergericht, 2024-05-15, DE</w:t>
      </w:r>
    </w:p>
    <w:p>
      <w:r>
        <w:rPr>
          <w:b/>
        </w:rPr>
        <w:t xml:space="preserve">Quelle: </w:t>
      </w:r>
      <w:r>
        <w:t>https://mcp.opencaselaw.ch/entscheid/zh_obergericht_PC240008</w:t>
      </w:r>
    </w:p>
    <w:p>
      <w:r>
        <w:t>FR: ZH_OBERGERICHT PC240008 du 15 mai 2024</w:t>
      </w:r>
    </w:p>
    <w:p>
      <w:r>
        <w:t>IT: ZH_OBERGERICHT PC240008 del 15 maggio 2024</w:t>
      </w:r>
    </w:p>
    <w:p>
      <w:pPr>
        <w:pStyle w:val="Heading2"/>
      </w:pPr>
      <w:r>
        <w:t>Erwägungen</w:t>
      </w:r>
    </w:p>
    <w:p>
      <w:r>
        <w:rPr>
          <w:b/>
        </w:rPr>
        <w:t>E. 2</w:t>
      </w:r>
    </w:p>
    <w:p>
      <w:r>
        <w:t>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w:t>
      </w:r>
    </w:p>
    <w:p>
      <w:r>
        <w:t>- 3 - angefochtene Entscheid nach Auffassung der die Beschwerde führenden Partei unrichtig sein soll. Dies setzt eine Auseinandersetzung mit dem vorinstanzlichen Entscheid voraus. Sind auch diese Voraussetzungen nicht gegeben, ist auf die Beschwerde nicht einzutreten. Neue Anträge, neue Tatsachenbehauptungen und neue Beweismittel sind im Beschwerdeverfahren ausgeschlossen (Art. 326 Abs. 1 ZPO).</w:t>
      </w:r>
    </w:p>
    <w:p>
      <w:r>
        <w:rPr>
          <w:b/>
        </w:rPr>
        <w:t>E. 3</w:t>
      </w:r>
    </w:p>
    <w:p>
      <w:r>
        <w:t>Die Vorinstanz stützte sich bei ihrem Entscheid, den Kläger zur Leistung einer Parteientschädigung zu verpflichten, auf Art. 105, Art. 106 Abs. 1 und Art. 118 Abs. 3 ZPO (act. 42 S. 3 unten). Gemäss diesen Bestimmungen spricht das Gericht die Parteientschädigung nach den (kantonalen) Tarifen zu (Art. 105 ZPO mit Verweis auf Art. 96 ZPO) und auferlegt diese – bei einem Klagerückzug – der klagenden Partei (Art. 106 Abs. 1 ZPO). Dabei wies die Vorinstanz durch den Verweis auf Art. 118 Abs. 3 ZPO darauf hin, dass die bewilligte unentgeltliche Rechtspflege nicht von der Bezahlung einer Parteientschädigung an die Gegen- partei befreit.</w:t>
      </w:r>
    </w:p>
    <w:p>
      <w:r>
        <w:rPr>
          <w:b/>
        </w:rPr>
        <w:t>E. 4</w:t>
      </w:r>
    </w:p>
    <w:p>
      <w:r>
        <w:t>In seiner Beschwerde bringt der Kläger einzig vor, er könne der Beklagten keine Parteientschädigung bezahlen, weil er das Verfahren aus finanziellen Grün- den nicht habe weiterführen können (act. 42). Inwiefern die vorstehend dargeleg- ten Erwägungen falsch sein sollen, zeigt der Kläger damit allerdings nicht auf. Dies genügt den – auch unter Berücksichtigung der für juristische Laien herabge- setzten – Anforderungen an die Begründung einer Beschwerde nicht. Damit kommt der Kläger seiner Begründungsobliegenheit nicht nach, und auf die Be- schwerde ist entsprechend nicht einzutreten. Selbst wenn auf die Beschwerde einzutreten wäre, wäre ihr kein Erfolg beschieden: Dem Kläger wurde im vorinstanzlichen Verfahren die unentgeltliche Rechtspflege bewilligt (act. 26). Wie die Vorinstanz unter Verweis auf Art. 118 Abs. 3 ZPO korrekt erwog, ist auch in diesem Fall eine Parteientschädigung zu zahlen. Mit anderen Worten hat eine Partei selbst dann eine Parteientschädigung zu zahlen, wenn ihre Mittellosigkeit im Rahmen der unentgeltlichen Rechtspflege festgestellt wurde. Die finanziellen Verhältnisse der Partei, die eine Parteientschä- digung zu zahlen hat, spielen folglich keine Rolle.</w:t>
      </w:r>
    </w:p>
    <w:p>
      <w:r>
        <w:t>- 4 -</w:t>
      </w:r>
    </w:p>
    <w:p>
      <w:r>
        <w:rPr>
          <w:b/>
        </w:rPr>
        <w:t>E. 5</w:t>
      </w:r>
    </w:p>
    <w:p>
      <w:r>
        <w:t>Ausgangsgemäss hat der Kläger die Kosten des Beschwerdeverfahrens zu tragen (Art. 106 Abs. 1 ZPO). Die Entscheidgebühr ist aufgrund des Streitwerts von CHF 2'345.– in Anwendung von § 12 i.V.m. § 4 GebV OG auf CHF 250.– festzusetzen. Parteientschädigungen sind keine zuzusprechen; dem Kläger nicht, weil er unterliegt, der Beklagten nicht, weil ihr im Beschwerdeverfahren keine Um- 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