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PC230004 vom 21. Februar 2023</w:t>
      </w:r>
    </w:p>
    <w:p>
      <w:r>
        <w:t>ZH Obergericht, 2023-02-21, DE</w:t>
      </w:r>
    </w:p>
    <w:p>
      <w:r>
        <w:rPr>
          <w:b/>
        </w:rPr>
        <w:t xml:space="preserve">Quelle: </w:t>
      </w:r>
      <w:r>
        <w:t>https://mcp.opencaselaw.ch/entscheid/zh_obergericht_PC230004</w:t>
      </w:r>
    </w:p>
    <w:p>
      <w:r>
        <w:t>FR: ZH_OBERGERICHT PC230004 du 21 février 2023</w:t>
      </w:r>
    </w:p>
    <w:p>
      <w:r>
        <w:t>IT: ZH_OBERGERICHT PC230004 del 21 febbraio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Gericht prüft von Amtes wegen, ob die Prozessvoraussetzungen erfüllt sind (Art. 60 ZPO). Hierzu gehört (unter anderem) die Frage, ob der Beschwerde- führer ein schutzwürdiges Interesse an der Beurteilung seines Rechtsmittels hat (Art. 59 Abs. 2 lit. a ZPO). Ein solches Rechtsschutzinteresse fehlt dem Be- schwerdeführer, da im Rahmen einer Rechtsverzögerungsbeschwerde lediglich das Nichtergehen eines anfechtbaren Entscheids gerügt werden kann (ZK ZPO- Freiburghaus/Afheldt, Art. 319 N 17) und vorliegend die Vorinstanz das bei ihr hängige Abänderungsverfahren mit der Zustellung des (begründeten) Urteils vom 15. September 2022 an die Parteien am 16. Januar 2023 (vgl. Urk. 148 [Emp-</w:t>
      </w:r>
    </w:p>
    <w:p>
      <w:r>
        <w:t>- 3 - fangsscheine]) – somit vor Erhebung der Rechtsverzögerungsbeschwerde am 25. Januar 2023 – abgeschlossen hatte. Daher erweist sich die Rechtsverzöge- rungsbeschwerde als offensichtlich unzulässig, weshalb darauf nicht einzutreten ist. 3.1. Auf das Erheben von Kosten ist umständehalber zu verzichten. 3.2. Für das Beschwerdeverfahren sind keine Parteientschädigungen zuzuspre- chen, dem Beschwerdeführer zufolge seines Unterliegens (Art. 106 Abs. 1 ZPO), dem Beschwerdegegner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