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PC210033 vom 14. September 2021</w:t>
      </w:r>
    </w:p>
    <w:p>
      <w:r>
        <w:t>ZH Obergericht, 2021-09-14, DE</w:t>
      </w:r>
    </w:p>
    <w:p>
      <w:r>
        <w:rPr>
          <w:b/>
        </w:rPr>
        <w:t xml:space="preserve">Quelle: </w:t>
      </w:r>
      <w:r>
        <w:t>https://mcp.opencaselaw.ch/entscheid/zh_obergericht_PC210033</w:t>
      </w:r>
    </w:p>
    <w:p>
      <w:r>
        <w:t>FR: ZH_OBERGERICHT PC210033 du 14 septembre 2021</w:t>
      </w:r>
    </w:p>
    <w:p>
      <w:r>
        <w:t>IT: ZH_OBERGERICHT PC210033 del 14 settembre 2021</w:t>
      </w:r>
    </w:p>
    <w:p>
      <w:pPr>
        <w:pStyle w:val="Heading2"/>
      </w:pPr>
      <w:r>
        <w:t>Erwägungen</w:t>
      </w:r>
    </w:p>
    <w:p>
      <w:r>
        <w:rPr>
          <w:b/>
        </w:rPr>
        <w:t>E. 2</w:t>
      </w:r>
    </w:p>
    <w:p>
      <w:r>
        <w:t>Zustellungsfrist von 20 Tagen um einem weiteren 30 Tagen verlängern.</w:t>
      </w:r>
    </w:p>
    <w:p>
      <w:r>
        <w:rPr>
          <w:b/>
        </w:rPr>
        <w:t>E. 2.1</w:t>
      </w:r>
    </w:p>
    <w:p>
      <w:r>
        <w:t>Mit der Beschwerde können unrichtige Rechtsanwendung und offensichtlich unrichtige Feststellung des Sachverhalts geltend gemacht werden (Art. 320 ZPO). Der Beklagte macht mit seiner Beschwerde jedoch weder das eine noch das an- dere geltend, sondern er ersucht im Wesentlichen um Erstreckung der angesetz- ten Frist zum Einreichen von Unterlagen sowie um Gewährung der unentgeltli- chen Rechtspflege (einschliesslich unentgeltlicher Rechtsverbeiständung) für das erstinstanzliche Verfahren (vgl. Urk. 1). Beides hat er jedoch nicht beim Oberge- richt als Rechtsmittelinstanz, sondern bei der Vorinstanz zu beantragen. Der Beklagte ist bereits an dieser Stelle darauf hinzuweisen, dass er bei der Vorinstanz im Hinblick auf sein Gesuch um unentgeltliche Rechtspflege seine fi- nanziellen Verhältnisse – Einkommen, Bedarf und Vermögen – umfassend darzu-</w:t>
      </w:r>
    </w:p>
    <w:p>
      <w:r>
        <w:t>- 3 - stellen und zu belegen hat (vgl. Auflistung in Dispositiv-Ziff. 4 der vorinstanzlichen Verfügung vom 24. August 2021 [Urk. 2 S. 3 f.]).</w:t>
      </w:r>
    </w:p>
    <w:p>
      <w:r>
        <w:rPr>
          <w:b/>
        </w:rPr>
        <w:t>E. 2.2</w:t>
      </w:r>
    </w:p>
    <w:p>
      <w:r>
        <w:t>Nach dem Gesagten ist auf die Beschwerde nicht einzutreten und die Ein- gabe des Beklagten vom 2. September 2021 betreffend Fristerstreckung und Ge- währung der unentgeltlichen Rechtspflege ist an die Vorinstanz weiterzuleiten.</w:t>
      </w:r>
    </w:p>
    <w:p>
      <w:r>
        <w:rPr>
          <w:b/>
        </w:rPr>
        <w:t>E. 3</w:t>
      </w:r>
    </w:p>
    <w:p>
      <w:r>
        <w:t>Unentgeltliche Rechtspflege gewähren</w:t>
      </w:r>
    </w:p>
    <w:p>
      <w:r>
        <w:rPr>
          <w:b/>
        </w:rPr>
        <w:t>E. 3.1</w:t>
      </w:r>
    </w:p>
    <w:p>
      <w:r>
        <w:t>Umständehalber sind für das vorliegende Beschwerdeverfahren keine Kos- ten zu erheben.</w:t>
      </w:r>
    </w:p>
    <w:p>
      <w:r>
        <w:rPr>
          <w:b/>
        </w:rPr>
        <w:t>E. 3.2</w:t>
      </w:r>
    </w:p>
    <w:p>
      <w:r>
        <w:t>Für das Beschwerdeverfahren sind keine Parteientschädigungen zuzuspre- chen, dem Beklagten zufolge seines Unterliegens (Art. 106 Abs. 1 ZPO), der Klä- gerin mangels relevanter Umtriebe (Art. 95 Abs. 3 ZPO). Es wird beschlossen:</w:t>
      </w:r>
    </w:p>
    <w:p>
      <w:r>
        <w:rPr>
          <w:b/>
        </w:rPr>
        <w:t>E. 4</w:t>
      </w:r>
    </w:p>
    <w:p>
      <w:r>
        <w:t>keine Verfahrens- und Prozesskosten auferlegen." 1.3. Die vorinstanzlichen Akten wurden beigezogen (Urk. 4/1-9). Da sich die Be- schwerde – wie nachfolgend aufzuzeigen sein wird – sogleich als offensichtlich unbegründet erweist, erübrigt sich das Einholen einer Beschwerdeantwort (Art. 322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