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PC210013 vom 28. April 2021</w:t>
      </w:r>
    </w:p>
    <w:p>
      <w:r>
        <w:t>ZH Obergericht, 2021-04-28, DE</w:t>
      </w:r>
    </w:p>
    <w:p>
      <w:r>
        <w:rPr>
          <w:b/>
        </w:rPr>
        <w:t xml:space="preserve">Quelle: </w:t>
      </w:r>
      <w:r>
        <w:t>https://mcp.opencaselaw.ch/entscheid/zh_obergericht_PC210013</w:t>
      </w:r>
    </w:p>
    <w:p>
      <w:r>
        <w:t>FR: ZH_OBERGERICHT PC210013 du 28 avril 2021</w:t>
      </w:r>
    </w:p>
    <w:p>
      <w:r>
        <w:t>IT: ZH_OBERGERICHT PC210013 del 28 aprile 2021</w:t>
      </w:r>
    </w:p>
    <w:p>
      <w:pPr>
        <w:pStyle w:val="Heading2"/>
      </w:pPr>
      <w:r>
        <w:t>Erwägungen</w:t>
      </w:r>
    </w:p>
    <w:p>
      <w:r>
        <w:rPr>
          <w:b/>
        </w:rPr>
        <w:t>E. 1</w:t>
      </w:r>
    </w:p>
    <w:p>
      <w:r>
        <w:t>a) Am 18. März 2021 reichte der Kläger beim Bezirksgericht Zürich (Vorinstanz) eine Scheidungsklage im Sinne von Art. 114 ZGB ein (Vi-Urk. 1). Mit Verfügung vom 13. April 2021 setzte die Vorinstanz dem Kläger (u.a.) eine Frist zur Leistung eines Gerichtskostenvorschusses von Fr. 2'400.-- an (Vi-Urk. 6 = Urk. 2). b) Hiergegen erhob der Kläger am 21. April 2021 (Postaufgabe) fristge- recht Beschwerde und stellte den Beschwerdeantrag (Urk. 1): "Hiermit beantrage ich, dass auf eine Bevorschussung der Gerichtskosten in der Höhe von CHF 2'400 verzichtet wird." c) Die vorinstanzlichen Akten wurden beigezogen. Da sich die Beschwer- de sogleich als offensichtlich unbegründet bzw. unzulässig erweist, kann auf wei- tere Prozesshandlungen verzichtet werden (vgl. Art. 322 Abs. 1 ZPO).</w:t>
      </w:r>
    </w:p>
    <w:p>
      <w:r>
        <w:rPr>
          <w:b/>
        </w:rPr>
        <w:t>E. 2</w:t>
      </w:r>
    </w:p>
    <w:p>
      <w:r>
        <w:t>a) Der Kläger begründet den von ihm beantragten Verzicht auf einen Gerichtskostenvorschuss zusammengefasst damit, dass er kein Geld habe. Er sei seit dem 1. Dezember 2017 bis heute auf finanzielle Unterstützung durch die öf- fentliche Hand angewiesen. Ein Gesuch um unentgeltliche Rechtspflege werde er "voraussichtlich zu einem späteren Zeitpunkt stellen" (Urk. 1). b) Der Antrag auf einen Verzicht auf Einforderung eines Gerichtskosten- vorschusses ist bereits ein Antrag auf (teilweise) Gewährung der unentgeltlichen Rechtspflege (vgl. Art. 118 Abs. 1 lit. a ZPO). Ein Gesuch um unentgeltliche Rechtspflege für das vorinstanzliche Verfahren ist jedoch bei der Vorinstanz ein- zureichen (wie dies der Kläger zwischenzeitlich auch getan hat; vgl. Prot. S. 2). Die Beschwerdeinstanz ist dafür sachlich nicht zuständig. c) Die als Beschwerde bezeichnete Eingabe des Klägers stellt auch in- haltlich keine Beschwerde gegen die Verfügung vom 13. April 2021 dar, denn es wird der Vorinstanz keine unrichtige Rechtsanwendung und/oder keine offensicht- lich unrichtige Sachverhaltsfeststellung vorgeworfen, wie dies für eine Beschwer- de notwendig wäre (vgl. Art. 320 ZPO).</w:t>
      </w:r>
    </w:p>
    <w:p>
      <w:r>
        <w:t>- 3 - d) Nach dem Gesagten kann auf die Beschwerde des Klägers nicht ein- getreten werden.</w:t>
      </w:r>
    </w:p>
    <w:p>
      <w:r>
        <w:rPr>
          <w:b/>
        </w:rPr>
        <w:t>E. 3</w:t>
      </w:r>
    </w:p>
    <w:p>
      <w:r>
        <w:t>a) Für das Beschwerdeverfahren kann umständehalber auf die Er- hebung von Gerichtskosten verzichtet werden. b) Für das Beschwerdeverfahren sind keine Parteientschädigungen zuzu- sprechen (Art. 106 Abs. 1, Art. 95 Abs. 3 ZPO).</w:t>
      </w:r>
    </w:p>
    <w:p>
      <w:r>
        <w:rPr>
          <w:b/>
        </w:rPr>
        <w:t>E. 4</w:t>
      </w:r>
    </w:p>
    <w:p>
      <w:r>
        <w:t>Auf eine schriftliche Mitteilung an die Beklagte ist mangels bekanntem Aufenthaltsort (vgl. Vi-Urk. 1 S. 2, Urk. 2 Erwägung 4 und Dispositiv-Ziffer 2) und mangels Relevanz (keine Beschwer)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