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PC200028 vom 23. September 2020</w:t>
      </w:r>
    </w:p>
    <w:p>
      <w:r>
        <w:t>ZH Obergericht, 2020-09-23, DE</w:t>
      </w:r>
    </w:p>
    <w:p>
      <w:r>
        <w:rPr>
          <w:b/>
        </w:rPr>
        <w:t xml:space="preserve">Quelle: </w:t>
      </w:r>
      <w:r>
        <w:t>https://mcp.opencaselaw.ch/entscheid/zh_obergericht_PC200028</w:t>
      </w:r>
    </w:p>
    <w:p>
      <w:r>
        <w:t>FR: ZH_OBERGERICHT PC200028 du 23 septembre 2020</w:t>
      </w:r>
    </w:p>
    <w:p>
      <w:r>
        <w:t>IT: ZH_OBERGERICHT PC200028 del 23 settembre 2020</w:t>
      </w:r>
    </w:p>
    <w:p>
      <w:pPr>
        <w:pStyle w:val="Heading2"/>
      </w:pPr>
      <w:r>
        <w:t>Erwägungen</w:t>
      </w:r>
    </w:p>
    <w:p>
      <w:r>
        <w:rPr>
          <w:b/>
        </w:rPr>
        <w:t>E. 2</w:t>
      </w:r>
    </w:p>
    <w:p>
      <w:r>
        <w:t>Im vorstehend genannten Urteil vom 24. August 2020, mit welchem die Beschwerde im Verfahren PC200027-O abgewiesen wurde, wurde erwogen, dass der Kläger das Gesuch um unentgeltliche Rechtspflege während laufender erster Frist zur Leistung eines Gerichtskostenvorschusses gestellt habe, so dass die Vorinstanz dem Kläger eine neue erste Frist anzusetzen habe (Urk. 5 Erw. 8). Un- ter Bezugnahme auf diese Erwägung erfolgte mit Verfügung der Vorinstanz vom</w:t>
      </w:r>
    </w:p>
    <w:p>
      <w:r>
        <w:rPr>
          <w:b/>
        </w:rPr>
        <w:t>E. 7</w:t>
      </w:r>
    </w:p>
    <w:p>
      <w:r>
        <w:t>September 2020 (erneut) eine erste Fristansetzung zur Leistung eines Kosten- vorschusses für die Gerichtskosten von Fr. 3'600.00 (Urk. 6). Mit Ansetzung die- ser ersten Frist zur Leistung eines Gerichtskostenvorschusses im vorinstanzlichen</w:t>
      </w:r>
    </w:p>
    <w:p>
      <w:r>
        <w:t>- 3 - Verfahren FP190103-L wird die Nachfristansetzung gemäss Verfügung vom 24. Juni 2020, welche Gegenstand des vorliegenden Beschwerdeverfahrens bil- det, obsolet. Damit ist das Rechtsschutzinteresse des Klägers an der materiellen Behandlung seiner Beschwerde vom 7. Juli 2020 dahingefallen. Zugleich wird der Antrag des Klägers, es sei seiner Beschwerde nötigenfalls die aufschiebende Wirkung zu erteilen, hinfällig. Das Beschwerdeverfahren ist zufolge Gegenstands- losigkeit als erledigt abzuschreiben (Art. 242 ZPO). 3.1. Umständehalber ist auf die Erhebung von Kosten für das Beschwerde- verfahren zu verzichten. 3.2. Für das vorliegende Verfahren sind keine Parteientschädigungen zu- zusprechen (Art. 95 Abs. 3 ZPO), dem Kläger mangels Antrags und der Beklagten und Beschwerdegegnerin (fortan Beklagte) mangels erheblicher Umtriebe. 4. Angesichts des Umstands, dass die Parteien im vorliegenden Be- schwerdeverfahren weder kosten- noch entschädigungspflichtig werden, kann von der sonst üblichen Fristansetzung zur Stellungnahme zur Regelung der Kosten- und Entschädigungsfolgen im Rahmen der Abschreibung des Beschwerdeverfah- rens abgesehen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