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PC200024 vom 28. Oktober 2020</w:t>
      </w:r>
    </w:p>
    <w:p>
      <w:r>
        <w:t>ZH Obergericht, 2020-10-28, DE</w:t>
      </w:r>
    </w:p>
    <w:p>
      <w:r>
        <w:rPr>
          <w:b/>
        </w:rPr>
        <w:t xml:space="preserve">Quelle: </w:t>
      </w:r>
      <w:r>
        <w:t>https://mcp.opencaselaw.ch/entscheid/zh_obergericht_PC200024</w:t>
      </w:r>
    </w:p>
    <w:p>
      <w:r>
        <w:t>FR: ZH_OBERGERICHT PC200024 du 28 octobre 2020</w:t>
      </w:r>
    </w:p>
    <w:p>
      <w:r>
        <w:t>IT: ZH_OBERGERICHT PC200024 del 28 ottobre 2020</w:t>
      </w:r>
    </w:p>
    <w:p>
      <w:pPr>
        <w:pStyle w:val="Heading2"/>
      </w:pPr>
      <w:r>
        <w:t>Erwägungen</w:t>
      </w:r>
    </w:p>
    <w:p>
      <w:r>
        <w:rPr>
          <w:b/>
        </w:rPr>
        <w:t>E. 7</w:t>
      </w:r>
    </w:p>
    <w:p>
      <w:r>
        <w:t>Februar 2014 ein (Urk. 1). In der Folge wurden die Parteien mit Verfügung vom 23. April 2020 auf den 2. Juni 2020 zur Einigungsverhandlung vorgeladen (Urk. 3). Mit Schreiben vom 6. Mai 2020 (Datum Poststempel: 7. Mai 2020, bei der Vorinstanz eingegangen am 8. Mai 2020) zog der Kläger sein Begehren zu- rück (Urk. 6). Hierauf verfügte die Vorinstanz am 13. Mai 2020 Folgendes (Urk. 7 S. 2 f. = Urk. 10A S. 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