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PC200011 vom 29. Juli 2020</w:t>
      </w:r>
    </w:p>
    <w:p>
      <w:r>
        <w:t>ZH Obergericht, 2020-07-29, DE</w:t>
      </w:r>
    </w:p>
    <w:p>
      <w:r>
        <w:rPr>
          <w:b/>
        </w:rPr>
        <w:t xml:space="preserve">Quelle: </w:t>
      </w:r>
      <w:r>
        <w:t>https://mcp.opencaselaw.ch/entscheid/zh_obergericht_PC200011</w:t>
      </w:r>
    </w:p>
    <w:p>
      <w:r>
        <w:t>FR: ZH_OBERGERICHT PC200011 du 29 juillet 2020</w:t>
      </w:r>
    </w:p>
    <w:p>
      <w:r>
        <w:t>IT: ZH_OBERGERICHT PC200011 del 29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Prozessgeschichte</w:t>
      </w:r>
    </w:p>
    <w:p>
      <w:r>
        <w:rPr>
          <w:b/>
        </w:rPr>
        <w:t>E. 1.1</w:t>
      </w:r>
    </w:p>
    <w:p>
      <w:r>
        <w:t>Der Kläger und Beschwerdeführer (nachfolgend: Kläger) ersuchte mit seiner Abänderungsklage vom 25. Juni 2019 bei der Vorinstanz um Abänderung des Scheidungsurteils des Bezirksgerichts Zurzach vom 5. Dezember 2017 (Urk. 8/1). Nachdem der anlässlich der Einigungsverhandlung bzw. der Verhandlung über vorsorgliche Massnahmen vom 16. Juli 2019 abgeschlossene Vergleich (Prot. VI S. 36) von der Beklagten und Beschwerdegegnerin (nachfolgend: Beklagte) mit Eingabe vom 18. Juli 2019 widerrufen worden war (Urk. 8/24), beliess die Vo- rinstanz mit Verfügung vom 30. Juli 2019 die Obhut über den gemeinsamen Sohn C._____ einstweilen für die weitere Dauer des Verfahrens bei beiden Parteien, legte seinen Wohnsitz beim Kläger fest und räumte der Beklagten ein ausgedehn- tes Besuchs- und Ferienrecht ein (Urk. 8/28). Beide Parteien nahmen in der Folge innert der ihnen angesetzten Frist zur Prozessverbeiständung von C._____ Stel- lung (Urk. 8/31; Urk. 8/33 und Urk. 8/40), woraufhin für C._____ mit Verfügung vom 17. September 2019 Rechtsanwältin lic. iur. Z._____ als Prozessbeiständin (nachfolgend: Kindesvertreterin) bestellt wurde (Urk. 8/42).</w:t>
      </w:r>
    </w:p>
    <w:p>
      <w:r>
        <w:rPr>
          <w:b/>
        </w:rPr>
        <w:t>E. 1.2</w:t>
      </w:r>
    </w:p>
    <w:p>
      <w:r>
        <w:t>Mit Eingabe vom 6. Dezember 2019 stellte die Kindesvertreterin einen An- trag auf Einholung eines Gutachtens über die Erziehungsfähigkeit der Parteien (Urk. 8/55). Die Beklagte unterstützte diesen Antrag in ihren Stellungnahmen vom 18. Dezember 2019 (Urk. 8/64) und 23. Januar 2020 (Urk. 8/74), wogegen der Kläger in seiner Eingabe vom 13. Januar 2020 die kostenpflichtige Abweisung beantragte (Urk. 8/66). Mit Verfügung vom 5. März 2020 traf die Vorinstanz nach- folgende Anordnungen (Urk. 8/81 = Urk.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